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DC" w:rsidRPr="00920B9F" w:rsidRDefault="00166190">
      <w:pPr>
        <w:jc w:val="center"/>
        <w:rPr>
          <w:rFonts w:ascii="黑体" w:eastAsia="黑体" w:hAnsi="黑体" w:cs="Times New Roman"/>
          <w:sz w:val="36"/>
          <w:szCs w:val="32"/>
        </w:rPr>
      </w:pPr>
      <w:bookmarkStart w:id="0" w:name="_GoBack"/>
      <w:r w:rsidRPr="00920B9F">
        <w:rPr>
          <w:rFonts w:ascii="黑体" w:eastAsia="黑体" w:hAnsi="黑体" w:cs="Times New Roman"/>
          <w:sz w:val="36"/>
          <w:szCs w:val="32"/>
        </w:rPr>
        <w:t>20</w:t>
      </w:r>
      <w:r w:rsidR="0092513D" w:rsidRPr="00920B9F">
        <w:rPr>
          <w:rFonts w:ascii="黑体" w:eastAsia="黑体" w:hAnsi="黑体" w:cs="Times New Roman" w:hint="eastAsia"/>
          <w:sz w:val="36"/>
          <w:szCs w:val="32"/>
        </w:rPr>
        <w:t>21</w:t>
      </w:r>
      <w:r w:rsidRPr="00920B9F">
        <w:rPr>
          <w:rFonts w:ascii="黑体" w:eastAsia="黑体" w:hAnsi="黑体" w:cs="Times New Roman"/>
          <w:sz w:val="36"/>
          <w:szCs w:val="32"/>
        </w:rPr>
        <w:t>年上海商学院财务管理专业专升本招生考试</w:t>
      </w:r>
    </w:p>
    <w:p w:rsidR="004120DC" w:rsidRPr="00920B9F" w:rsidRDefault="00166190">
      <w:pPr>
        <w:jc w:val="center"/>
        <w:rPr>
          <w:rFonts w:ascii="黑体" w:eastAsia="黑体" w:hAnsi="黑体" w:cs="Times New Roman"/>
          <w:sz w:val="36"/>
          <w:szCs w:val="32"/>
        </w:rPr>
      </w:pPr>
      <w:r w:rsidRPr="00920B9F">
        <w:rPr>
          <w:rFonts w:ascii="黑体" w:eastAsia="黑体" w:hAnsi="黑体" w:cs="Times New Roman"/>
          <w:sz w:val="36"/>
          <w:szCs w:val="32"/>
        </w:rPr>
        <w:t>考试大纲</w:t>
      </w:r>
    </w:p>
    <w:bookmarkEnd w:id="0"/>
    <w:p w:rsidR="004120DC" w:rsidRDefault="004120DC">
      <w:pPr>
        <w:rPr>
          <w:rFonts w:ascii="Times New Roman" w:hAnsi="Times New Roman" w:cs="Times New Roman"/>
          <w:sz w:val="25"/>
        </w:rPr>
      </w:pP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考试科目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：《财务管理》</w:t>
      </w: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一、命题原则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．考试目标</w:t>
      </w:r>
    </w:p>
    <w:p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考试目标在于考核已修完财务管理所规定基本教学内容的学生，是否较好地达到课程标准所确定的目标，并具有继续进行本科财务管理及相关课程深入学习的能力。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．考试标准</w:t>
      </w:r>
    </w:p>
    <w:p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考试标准是以普通高等学校的教学要求为参照标准，在考试的总体水平上，与普通高等学校相应专业的学历层次水平相一致。它是由专升本考试的招生录取计划、考试大纲和参考教材来具体体现的。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．考试依据和范围</w:t>
      </w:r>
    </w:p>
    <w:p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考试依据见考试大纲，命题范围严格遵循考试大纲，侧重考核财务管理基本知识、基本原理的理解和掌握以及基本方法的应用。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150"/>
        <w:gridCol w:w="1512"/>
      </w:tblGrid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范　　围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一、总论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．财务管理内容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财务管理概念；财务活动内容；财务关系内容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．财务管理目标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利润最大化目标、资本利润率最大化目标和企业价值最大化目标的优缺点；协调股东与经营者、股东与债权人矛盾的方法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．财务管理环节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了解财务管理环节，包括财务预测、财务决策、财务预算、财务控制、财务分析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．财务管理原则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关于竞争环境原则、关于创造价值原则、关于财务交易原则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理解并掌握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．财务管理的环境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经济环境、法律环境、金融环境及内部环境对理财工作的影响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二、财务分析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．财务分析的意义与内容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财务分析的意义；财务分析信息的需求者及其要求；财务分析的内容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．财务分析方法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比较分析法；比率分析法；因素分析法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570"/>
        </w:trPr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．财务分析指标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基于资产负债表和利润表的短期偿债能力分析指标、长期偿债能力分析指标、营运能力分析指标、获利能力分析指标的计算及运用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570"/>
        </w:trPr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基于现金流量表的各项财务分析指标计算与应用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．财务综合分析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杜邦财务分析体系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沃尔评分法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三、资金时间价值与风险分析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rPr>
          <w:trHeight w:val="2350"/>
        </w:trPr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．资金时间价值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复利和年金概念；年金分类；复利终值与现值计算；普通年金的终值与现值计算；即付年金的终值与现值计算；递延年金现值与终值计算；永续年金现值计算。折现率、期间的推算；报价利率、计息期利率和有效年利率的概念及换算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383"/>
        </w:trPr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．风险分析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风险概念；风险的类别；利用标准差及标准离差率比较判断风险的大小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382"/>
        </w:trPr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风险报酬衡量（期望值、标准差、标准离差率的计算）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．利息率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利息率分类；利率决定因素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四、筹资管理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．企业筹资概述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企业筹资的分类、企业筹资渠道与方式、企业筹资的基本原则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企业资金需要量预测的方法，包括销售百分比法和资金习性预测法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．权益资金的筹集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权益资金筹资渠道、方式及其优缺点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．负债资金的筹集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债资金筹资渠道、方式及其优缺点。银行借款内容（信贷额度、周转信贷协定、补偿性余额、借款利息支付方式、借款筹资优缺点）；发行债券内容（债券的面值、债券的期限、债券的利率、债券的发行价格计算、债券筹资优缺点）；利用商业信用（商业信用形式、商业信用条件、放弃现金折扣成本的计算）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五、资金成本与资金结构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．资金成本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资金成本概念；个别资本成本和加权平均资本成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本的计算、边际资本成本率计算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．杠杆原理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本习性的概念；边际贡献、息税前利润的概念及计算公式；经营杠杆（概念、经营杠杆的计量、经营杠杆与经营风险的关系）；财务杠杆（概念、财务杠杆的计量、财务杠杆与财务风险的关系）；复合杠杆（概念、复合杠杆的计量、复合杠杆与企业风险的关系）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．资金结构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资金结构的概念、最优资金结构的确定方法（每股利润分析法、比较资金成本法）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六、投资管理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．项目投资的相关概念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项目投资的含义、项目计算期的构成和资金投入方式</w:t>
            </w:r>
          </w:p>
        </w:tc>
        <w:tc>
          <w:tcPr>
            <w:tcW w:w="1512" w:type="dxa"/>
          </w:tcPr>
          <w:p w:rsidR="004120DC" w:rsidRDefault="0016619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．现金流量的内容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现金流量的含义、现金流量的内容</w:t>
            </w:r>
          </w:p>
        </w:tc>
        <w:tc>
          <w:tcPr>
            <w:tcW w:w="1512" w:type="dxa"/>
          </w:tcPr>
          <w:p w:rsidR="004120DC" w:rsidRDefault="0016619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．净现金流量的确定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净现金流量含义、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净现金流量的确定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．项目投资决策评价指标及其运用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评价指标的分类、非折现评价指标的含义、特点及计算方法（投资利润率、静态投资回收期）；折现评价指标的含义、特点及计算方法（净现值、净现值率、获利指数、内含报酬率、年均净现值）；折现指标之间的关系；利用上述评价指标对投资项目财务可行性进行分析评价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七、财务估价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．风险和报酬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实际报酬率、预期报酬率和必要报酬率的概念；单项资产和资产组合的风险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rPr>
          <w:trHeight w:val="188"/>
        </w:trPr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．投资组合报酬率的计算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资本资产定价模型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187"/>
        </w:trPr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套利定价模型、证券市场线、资本市场线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．债券估价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债券估价模型（每年按复利计算并支付利息，到期一次还本估价模型；一次还本付息，利息不计复利估价模型；贴现发行债券股价模型）；流通债券的估价问题；债券收益率的计算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383"/>
        </w:trPr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．股票估价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股票估价模型（固定成长股票股价模型；零成长股票估价模型；非正常成长股票估价模型）；利用证券估价模型做出投资决策；股票投资收益率的计算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八、营运资本管理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．营运资本概述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营运资本的概念；营运资本的特点；营运资本的原则；营运资本的周转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．现金管理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现金的持有动机；最佳现金持有量确定（成本分析模式、存货模式）；现金日常管理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．应收账款的管理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应收账款的功能与成本；信用标准；信用条件；收账政策；信用政策的确定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应收账款日常管理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．存货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存货的功能与成本；存货经济批量基本模型；经济订货批量的扩展模型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ABC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控制法、适时制库存控制系统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九、收益分配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rPr>
          <w:trHeight w:val="188"/>
        </w:trPr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．收益分配概述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收益分配的意义、收益分配的基本原则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rPr>
          <w:trHeight w:val="187"/>
        </w:trPr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股利支付方式；股利支付程序；股利政策基本理论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．收益分配政策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剩余股利政策；固定股利政策；固定股利比例政策；正常股利加额外股利政策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．股票股利与股票分割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股票股利的含义及对公司和股东的影响；股票分割的含义及对公司和股东的影响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十、财务预算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．财务预算的意义与体系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财务预算的含义；财务预算在全面预算体系中的地位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rPr>
          <w:trHeight w:val="383"/>
        </w:trPr>
        <w:tc>
          <w:tcPr>
            <w:tcW w:w="251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．财务预算的编制方法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固定预算与弹性预算的含义与区别；增量预算与零基预算含义与区别；定期预算与滚动预算的含义与区别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382"/>
        </w:trPr>
        <w:tc>
          <w:tcPr>
            <w:tcW w:w="251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固定预算与弹性预算的编制；增量预算与零基预算的编制；定期预算与滚动预算的编制；现金预算的编制方法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．现金预算与预计财务报表的编制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现金预算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的编制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预计财务报表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十一、财务控制</w:t>
            </w:r>
          </w:p>
        </w:tc>
        <w:tc>
          <w:tcPr>
            <w:tcW w:w="515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．财务控制的意义与种类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财务控制的含义与特征；财务控制的基础；财务控制的种类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．责任中心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成本中心、利润中心及投资中心的含义和考核指标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51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．内部转移价格的类型</w:t>
            </w:r>
          </w:p>
        </w:tc>
        <w:tc>
          <w:tcPr>
            <w:tcW w:w="515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市场价格；协商价格；双重价格；成本转移价格</w:t>
            </w:r>
          </w:p>
        </w:tc>
        <w:tc>
          <w:tcPr>
            <w:tcW w:w="1512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</w:tbl>
    <w:p w:rsidR="004120DC" w:rsidRDefault="00412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．考试形式</w:t>
      </w:r>
    </w:p>
    <w:p w:rsidR="004120DC" w:rsidRDefault="00166190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闭卷，笔试，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分钟（可以</w:t>
      </w:r>
      <w:r>
        <w:rPr>
          <w:rFonts w:ascii="Times New Roman" w:hAnsi="Times New Roman" w:cs="Times New Roman" w:hint="eastAsia"/>
          <w:sz w:val="24"/>
          <w:szCs w:val="24"/>
        </w:rPr>
        <w:t>使用</w:t>
      </w:r>
      <w:r>
        <w:rPr>
          <w:rFonts w:hint="eastAsia"/>
          <w:sz w:val="24"/>
        </w:rPr>
        <w:t>不含储存功能的简易计算器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．考试题型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）单项选择题（本类题共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）多项选择题（本类题共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分。多选、少选、错选、不选，均不得分）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）判断题（本类题共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分。每小题判断结果正确的得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分，全部选择正确或错误的本类题不得分，判断错误或不判断的不得分也不扣分）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）计算题（本类题共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题，前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小题每题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分，第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题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分。共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）综合题（本类题共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题，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120DC" w:rsidRDefault="00166190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试卷满分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分。</w:t>
      </w:r>
    </w:p>
    <w:p w:rsidR="004120DC" w:rsidRDefault="004120DC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《财务管理》王琴、蒋平主编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立信会计出版社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月第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ISBN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978-7-5429-3738-4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《财务管理》蒋平</w:t>
      </w:r>
      <w:r>
        <w:rPr>
          <w:rFonts w:ascii="Times New Roman" w:hAnsi="Times New Roman" w:cs="Times New Roman" w:hint="eastAsia"/>
          <w:sz w:val="24"/>
          <w:szCs w:val="24"/>
        </w:rPr>
        <w:t>、刘梅</w:t>
      </w:r>
      <w:r>
        <w:rPr>
          <w:rFonts w:ascii="Times New Roman" w:hAnsi="Times New Roman" w:cs="Times New Roman"/>
          <w:sz w:val="24"/>
          <w:szCs w:val="24"/>
        </w:rPr>
        <w:t>主编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立信会计出版社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月第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ISBN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978-7-5429-</w:t>
      </w:r>
      <w:r>
        <w:rPr>
          <w:rFonts w:ascii="Times New Roman" w:hAnsi="Times New Roman" w:cs="Times New Roman" w:hint="eastAsia"/>
          <w:sz w:val="24"/>
          <w:szCs w:val="24"/>
        </w:rPr>
        <w:t>6273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7/F</w:t>
      </w:r>
    </w:p>
    <w:p w:rsidR="004120DC" w:rsidRDefault="00412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0DC" w:rsidRDefault="00166190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考试科目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：《会计学》</w:t>
      </w: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一、命题原则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．考试目标</w:t>
      </w:r>
    </w:p>
    <w:p w:rsidR="004120DC" w:rsidRDefault="00166190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全面系统地掌握会计的基本理论、基本方法以及会计核算的基本循环过程；能够用会计学的理论和方法处理企业的基本经济业务。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．考试标准</w:t>
      </w:r>
    </w:p>
    <w:p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考试标准是以普通高等学校的教学要求为参照标准，在考试的总体水平上，与普通高等学校相应专业的学历层次水平相一致。它是由专升本考试的招生录取计划、考试大纲和参考教材来具体体现的。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．考试依据和范围</w:t>
      </w:r>
    </w:p>
    <w:p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考试依据见考试大纲，命题范围严格遵循考试大纲，重点测试考生基本知识、基本理论的掌握程度以及基本会计实务的操作和运用能力。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680"/>
        <w:gridCol w:w="854"/>
      </w:tblGrid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范　　围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一、概论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．会计的概念及其职能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会计的概念、会计核算和其他核算的关系、会计的职能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．会计的对象、任务和作用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会计对象、会计的任务、会计的作用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．会计的基本理论结构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会计核算的基本前提、会计信息质量要求、企业会计准则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．会计方法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二、账户及复式记账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．会计恒等式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会计要素、资产、负债及所有者权益、收入、费用及利润、会计恒等式、经济业务对会计恒等式的影响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．账户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会计科目、账户、账户的结构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570"/>
        </w:trPr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．复式记账法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复式记账的概念、借贷记账法、借贷记账法的具体运用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956"/>
        </w:trPr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．简单的资产负债表、利润表、现金流量表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三、会计循环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rPr>
          <w:trHeight w:val="663"/>
        </w:trPr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．会计循环概述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会计循环的概念、会计循环基本流程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rPr>
          <w:trHeight w:val="383"/>
        </w:trPr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．会计凭证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会计凭证的概念、记账凭证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rPr>
          <w:trHeight w:val="382"/>
        </w:trPr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原始凭证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．会计账簿与记账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会计账簿的概念、会计账簿的种类、账簿的设置和登记、过账示例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．试算与调整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试算平衡、账项调整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．结账与编表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工作底稿、结账、编制财务报表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四、货币资金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现金的概念和特点、现金管理的主要内容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现金的核算、现金清查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．银行存款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银行存款的管理、银行转账结算方式、银行存款的清查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银行存款的核算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．其他货币资金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其他货币资金的范围与性质、其他货币资金的核算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五、存货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．存货的确认及计量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存货的确认及初始计量、发出存货的计价方法、期末存货的计价方法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．原材料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原材料的概述、原材料按计划成本计价的核算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原材料按实际成本计价的核算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．库存商品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库存商品的含义、制造业库存商品核算、商品流通企业库存商品的核算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．其他存货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低值易耗品、包装物、委托加工物资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．存货清查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存货的盘存方法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存货清查的处理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六、金融资产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．金融资产的概念及分类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金融资产的概念</w:t>
            </w:r>
          </w:p>
        </w:tc>
        <w:tc>
          <w:tcPr>
            <w:tcW w:w="854" w:type="dxa"/>
          </w:tcPr>
          <w:p w:rsidR="004120DC" w:rsidRDefault="0016619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金融资产的分类</w:t>
            </w:r>
          </w:p>
        </w:tc>
        <w:tc>
          <w:tcPr>
            <w:tcW w:w="854" w:type="dxa"/>
          </w:tcPr>
          <w:p w:rsidR="004120DC" w:rsidRDefault="0016619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金融资产核算使用的账户</w:t>
            </w:r>
          </w:p>
        </w:tc>
        <w:tc>
          <w:tcPr>
            <w:tcW w:w="854" w:type="dxa"/>
          </w:tcPr>
          <w:p w:rsidR="004120DC" w:rsidRDefault="0016619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．金融资产的核算</w:t>
            </w:r>
          </w:p>
        </w:tc>
        <w:tc>
          <w:tcPr>
            <w:tcW w:w="4680" w:type="dxa"/>
            <w:vAlign w:val="center"/>
          </w:tcPr>
          <w:p w:rsidR="004120DC" w:rsidRDefault="0092513D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1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以摊余成本计量的金融资产的核算、以公允价值计量且其变动记入当期损益的金融资产的核算、以公允价值计量且其变动记入其他综合收益的金融资产的核算</w:t>
            </w:r>
          </w:p>
        </w:tc>
        <w:tc>
          <w:tcPr>
            <w:tcW w:w="854" w:type="dxa"/>
          </w:tcPr>
          <w:p w:rsidR="004120DC" w:rsidRDefault="0016619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应收款项的核算</w:t>
            </w:r>
          </w:p>
        </w:tc>
        <w:tc>
          <w:tcPr>
            <w:tcW w:w="854" w:type="dxa"/>
          </w:tcPr>
          <w:p w:rsidR="004120DC" w:rsidRDefault="00166190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．金融资产减值</w:t>
            </w:r>
          </w:p>
        </w:tc>
        <w:tc>
          <w:tcPr>
            <w:tcW w:w="4680" w:type="dxa"/>
            <w:vAlign w:val="center"/>
          </w:tcPr>
          <w:p w:rsidR="004120DC" w:rsidRPr="0092513D" w:rsidRDefault="0092513D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1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金融资产减值的确认、测试、核算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七、长期股权投资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．长期股权投资的分类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rPr>
          <w:trHeight w:val="188"/>
        </w:trPr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．长期股权投资的初始计量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控股合并长期股权投资的初始计量、非控股合并长期股权投资的初始计量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．长期股权投资的后续计量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长期股权投资核算的成本法、长期股权投资核算的权益法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八、固定资产和无形资产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．固定资产概述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固定资产的概念、固定资产的确认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固定资产的特征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．固定资产的初始计量及会计处理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外购固定资产、自建固定资产、投资者投入固定资产、融资租入的固定资产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固定资产初始计量的基本原则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．固定资产折旧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折旧的概念、影响折旧的因素、固定资产折旧范围及要求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折旧的计算和会计处理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．固定资产后续支出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固定资产后续支出的概念、固定资产后续支出的会计处理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．固定资产减值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．固定资产清理和清查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．无形资产和其他资产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无形资产概述、无形资产的后续计量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无形资产的初始计量及会计处理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九、负债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rPr>
          <w:trHeight w:val="188"/>
        </w:trPr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．流动负债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流动负债的概念和特点、预收账款、应付股利、其他应付款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rPr>
          <w:trHeight w:val="187"/>
        </w:trPr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短期借款、应付票据、应付账款、应付职工薪酬、应交税费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．非流动负债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非流动负债的特点、长期借款、应付债券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十、所有者权益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．所有者权益概述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所有者权益的性质、所有者权益的构成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rPr>
          <w:trHeight w:val="383"/>
        </w:trPr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．股本与实收资本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股本与实收资本的概述、实收资本（或股本）的增减变动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rPr>
          <w:trHeight w:val="382"/>
        </w:trPr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非股份制企业实收资本的核算、股份有限公司的股本的核算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．资本公积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资本公积的概述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资本公积的核算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．留存收益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盈余公积、未分配利润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十一、收入、费用和利润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．收入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收入的内容、提供劳务收入的核算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销售商品收入确认与计量的条件、销售商品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收入的账务处理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掌握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．费用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费用的概念、特征和确认原则、费用的分类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费用核算的账务处理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．利润、利润分配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利润的形成与核算、利润分配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十二、所得税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．暂时性差异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基本概念、暂时性差异的类型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．所得税会计的核算方法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所得税会计的核算程序、所得税会计的核算方法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十三、财务会计报告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．财务会计报告概述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财务会计报告的概念和目标、财务会计报告的组成、财务报表列报的基本要求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．资产负债表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资产负债表的概念、资产负债表的作用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资产负债表的内容、格式和编制方法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Merge w:val="restart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．利润表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利润表的概念、利润表的作用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Merge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利润表的内容、格式和编制方法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．现金流量表</w:t>
            </w:r>
          </w:p>
        </w:tc>
        <w:tc>
          <w:tcPr>
            <w:tcW w:w="4680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现金流量表的概念、现金流量的分类、现金流量表的作用、现金流量表的格式、现金流量表的编制方法</w:t>
            </w: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．所有者权益变动表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>
        <w:tc>
          <w:tcPr>
            <w:tcW w:w="2988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．会计报表附注</w:t>
            </w:r>
          </w:p>
        </w:tc>
        <w:tc>
          <w:tcPr>
            <w:tcW w:w="4680" w:type="dxa"/>
            <w:vAlign w:val="center"/>
          </w:tcPr>
          <w:p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</w:tbl>
    <w:p w:rsidR="004120DC" w:rsidRDefault="00412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．考试形式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闭卷，笔试，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分钟（可以</w:t>
      </w:r>
      <w:r>
        <w:rPr>
          <w:rFonts w:ascii="Times New Roman" w:hAnsi="Times New Roman" w:cs="Times New Roman" w:hint="eastAsia"/>
          <w:sz w:val="24"/>
          <w:szCs w:val="24"/>
        </w:rPr>
        <w:t>使用</w:t>
      </w:r>
      <w:r>
        <w:rPr>
          <w:rFonts w:hint="eastAsia"/>
          <w:sz w:val="24"/>
        </w:rPr>
        <w:t>不含储存功能的简易计算器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．考试题型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）单项选择题（本类题共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）多项选择题（本类题共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分。多选、少选、错选、不选，均不得分）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）判断题（本类题共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分。每小题判断结果正确的得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分，全部选择正确或错误的本类题不得分，判断错误或不判断的不得分也不扣分）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）计算题（本类题共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题，每题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分，需要计算的列出计算过程）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）会计业务题（本类题共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题，</w:t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分。需要计算的列出计算过程，其中会计分录中会计科目、记账方向、金额任何一项错误均不得分）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试卷满分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分。</w:t>
      </w:r>
    </w:p>
    <w:p w:rsidR="004120DC" w:rsidRDefault="00412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（会计实务以最新的《企业会计准则》及最新的税务法规为准）</w:t>
      </w:r>
    </w:p>
    <w:p w:rsidR="004120DC" w:rsidRDefault="00166190" w:rsidP="009251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《初级会计实务》经济科学出版社（</w:t>
      </w:r>
      <w:r w:rsidR="0092513D">
        <w:rPr>
          <w:rFonts w:ascii="Times New Roman" w:hAnsi="Times New Roman" w:cs="Times New Roman" w:hint="eastAsia"/>
          <w:sz w:val="24"/>
          <w:szCs w:val="24"/>
        </w:rPr>
        <w:t>2021</w:t>
      </w:r>
      <w:r>
        <w:rPr>
          <w:rFonts w:ascii="Times New Roman" w:hAnsi="Times New Roman" w:cs="Times New Roman" w:hint="eastAsia"/>
          <w:sz w:val="24"/>
          <w:szCs w:val="24"/>
        </w:rPr>
        <w:t>年度全国会计专业技术资格考试辅导教材），财政部会计资格评价中心编，</w:t>
      </w:r>
      <w:r w:rsidR="0092513D" w:rsidRPr="0092513D">
        <w:rPr>
          <w:rFonts w:ascii="Times New Roman" w:hAnsi="Times New Roman" w:cs="Times New Roman" w:hint="eastAsia"/>
          <w:sz w:val="24"/>
          <w:szCs w:val="24"/>
        </w:rPr>
        <w:t>2020</w:t>
      </w:r>
      <w:r w:rsidR="0092513D" w:rsidRPr="0092513D">
        <w:rPr>
          <w:rFonts w:ascii="Times New Roman" w:hAnsi="Times New Roman" w:cs="Times New Roman" w:hint="eastAsia"/>
          <w:sz w:val="24"/>
          <w:szCs w:val="24"/>
        </w:rPr>
        <w:t>年</w:t>
      </w:r>
      <w:r w:rsidR="0092513D" w:rsidRPr="0092513D">
        <w:rPr>
          <w:rFonts w:ascii="Times New Roman" w:hAnsi="Times New Roman" w:cs="Times New Roman" w:hint="eastAsia"/>
          <w:sz w:val="24"/>
          <w:szCs w:val="24"/>
        </w:rPr>
        <w:t>12</w:t>
      </w:r>
      <w:r w:rsidR="0092513D" w:rsidRPr="0092513D">
        <w:rPr>
          <w:rFonts w:ascii="Times New Roman" w:hAnsi="Times New Roman" w:cs="Times New Roman" w:hint="eastAsia"/>
          <w:sz w:val="24"/>
          <w:szCs w:val="24"/>
        </w:rPr>
        <w:t>月，</w:t>
      </w:r>
      <w:r w:rsidR="0092513D" w:rsidRPr="0092513D">
        <w:rPr>
          <w:rFonts w:ascii="Times New Roman" w:hAnsi="Times New Roman" w:cs="Times New Roman" w:hint="eastAsia"/>
          <w:sz w:val="24"/>
          <w:szCs w:val="24"/>
        </w:rPr>
        <w:t>ISBN 9787514198508</w:t>
      </w:r>
    </w:p>
    <w:sectPr w:rsidR="004120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31" w:rsidRDefault="00E67431">
      <w:r>
        <w:separator/>
      </w:r>
    </w:p>
  </w:endnote>
  <w:endnote w:type="continuationSeparator" w:id="0">
    <w:p w:rsidR="00E67431" w:rsidRDefault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554865"/>
      <w:docPartObj>
        <w:docPartGallery w:val="AutoText"/>
      </w:docPartObj>
    </w:sdtPr>
    <w:sdtEndPr/>
    <w:sdtContent>
      <w:p w:rsidR="004120DC" w:rsidRDefault="00166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9F" w:rsidRPr="00920B9F">
          <w:rPr>
            <w:noProof/>
            <w:lang w:val="zh-CN"/>
          </w:rPr>
          <w:t>1</w:t>
        </w:r>
        <w:r>
          <w:fldChar w:fldCharType="end"/>
        </w:r>
      </w:p>
    </w:sdtContent>
  </w:sdt>
  <w:p w:rsidR="004120DC" w:rsidRDefault="004120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31" w:rsidRDefault="00E67431">
      <w:r>
        <w:separator/>
      </w:r>
    </w:p>
  </w:footnote>
  <w:footnote w:type="continuationSeparator" w:id="0">
    <w:p w:rsidR="00E67431" w:rsidRDefault="00E6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45"/>
    <w:rsid w:val="00012C15"/>
    <w:rsid w:val="0005298A"/>
    <w:rsid w:val="00065383"/>
    <w:rsid w:val="00081317"/>
    <w:rsid w:val="000910CE"/>
    <w:rsid w:val="000B43BE"/>
    <w:rsid w:val="000E234A"/>
    <w:rsid w:val="0010106C"/>
    <w:rsid w:val="0016355B"/>
    <w:rsid w:val="00166190"/>
    <w:rsid w:val="001A3F85"/>
    <w:rsid w:val="001C2E88"/>
    <w:rsid w:val="001C4AE4"/>
    <w:rsid w:val="001E73F0"/>
    <w:rsid w:val="00275592"/>
    <w:rsid w:val="00295FEB"/>
    <w:rsid w:val="002A5259"/>
    <w:rsid w:val="002C3ABC"/>
    <w:rsid w:val="002E74E7"/>
    <w:rsid w:val="00303C9E"/>
    <w:rsid w:val="003A7FAA"/>
    <w:rsid w:val="003D6B7A"/>
    <w:rsid w:val="003F105E"/>
    <w:rsid w:val="003F7CD4"/>
    <w:rsid w:val="004120DC"/>
    <w:rsid w:val="00463B65"/>
    <w:rsid w:val="004663DB"/>
    <w:rsid w:val="004757EE"/>
    <w:rsid w:val="00495F55"/>
    <w:rsid w:val="004D1CC0"/>
    <w:rsid w:val="004D41B8"/>
    <w:rsid w:val="004D7E15"/>
    <w:rsid w:val="004F7D7C"/>
    <w:rsid w:val="005273BF"/>
    <w:rsid w:val="005347C9"/>
    <w:rsid w:val="0055557A"/>
    <w:rsid w:val="0055646E"/>
    <w:rsid w:val="00574F98"/>
    <w:rsid w:val="005870BE"/>
    <w:rsid w:val="00633262"/>
    <w:rsid w:val="00633587"/>
    <w:rsid w:val="0064032D"/>
    <w:rsid w:val="00657D79"/>
    <w:rsid w:val="006E0B13"/>
    <w:rsid w:val="006F44AE"/>
    <w:rsid w:val="0070188A"/>
    <w:rsid w:val="0072191F"/>
    <w:rsid w:val="00766EAA"/>
    <w:rsid w:val="007759A0"/>
    <w:rsid w:val="007850EC"/>
    <w:rsid w:val="007965BA"/>
    <w:rsid w:val="007A4463"/>
    <w:rsid w:val="007B2BEC"/>
    <w:rsid w:val="007B7392"/>
    <w:rsid w:val="00831B28"/>
    <w:rsid w:val="008371F4"/>
    <w:rsid w:val="008C2D28"/>
    <w:rsid w:val="008C68A8"/>
    <w:rsid w:val="008F1950"/>
    <w:rsid w:val="00920B9F"/>
    <w:rsid w:val="0092513D"/>
    <w:rsid w:val="009602B3"/>
    <w:rsid w:val="009A2E9C"/>
    <w:rsid w:val="009B5627"/>
    <w:rsid w:val="00A66E06"/>
    <w:rsid w:val="00AC5A7D"/>
    <w:rsid w:val="00AC7C06"/>
    <w:rsid w:val="00AF1DD4"/>
    <w:rsid w:val="00AF2ED2"/>
    <w:rsid w:val="00B36496"/>
    <w:rsid w:val="00B44773"/>
    <w:rsid w:val="00B57B28"/>
    <w:rsid w:val="00B70C32"/>
    <w:rsid w:val="00BB1062"/>
    <w:rsid w:val="00BC5E69"/>
    <w:rsid w:val="00BD36DD"/>
    <w:rsid w:val="00C0777B"/>
    <w:rsid w:val="00C61A69"/>
    <w:rsid w:val="00C628BE"/>
    <w:rsid w:val="00C81545"/>
    <w:rsid w:val="00C83975"/>
    <w:rsid w:val="00CA6FF7"/>
    <w:rsid w:val="00CC7FB1"/>
    <w:rsid w:val="00CD6358"/>
    <w:rsid w:val="00D10C78"/>
    <w:rsid w:val="00D60CD3"/>
    <w:rsid w:val="00D81D25"/>
    <w:rsid w:val="00D9167D"/>
    <w:rsid w:val="00DB35DC"/>
    <w:rsid w:val="00DC6EE2"/>
    <w:rsid w:val="00DE2107"/>
    <w:rsid w:val="00E27C3F"/>
    <w:rsid w:val="00E34512"/>
    <w:rsid w:val="00E67431"/>
    <w:rsid w:val="00E70CED"/>
    <w:rsid w:val="00E8690B"/>
    <w:rsid w:val="00E90D60"/>
    <w:rsid w:val="00EC07AE"/>
    <w:rsid w:val="00EE26D5"/>
    <w:rsid w:val="00F21B12"/>
    <w:rsid w:val="00F27E05"/>
    <w:rsid w:val="00F31A3A"/>
    <w:rsid w:val="00F35DE0"/>
    <w:rsid w:val="00F56C0B"/>
    <w:rsid w:val="00FD7E53"/>
    <w:rsid w:val="628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764B2D-C339-4B06-ACEF-0E6CFD7A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  <w:kern w:val="0"/>
      <w:sz w:val="24"/>
      <w:szCs w:val="24"/>
      <w:lang w:val="en-AU" w:eastAsia="en-AU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Times New Roman" w:hAnsi="Times New Roman" w:cs="Times New Roman"/>
      <w:kern w:val="0"/>
      <w:sz w:val="24"/>
      <w:szCs w:val="24"/>
      <w:lang w:val="en-AU" w:eastAsia="en-AU"/>
    </w:rPr>
  </w:style>
  <w:style w:type="paragraph" w:customStyle="1" w:styleId="SubjNameNo">
    <w:name w:val="SubjName&amp;No"/>
    <w:basedOn w:val="a"/>
    <w:qFormat/>
    <w:pPr>
      <w:widowControl/>
      <w:jc w:val="center"/>
    </w:pPr>
    <w:rPr>
      <w:rFonts w:ascii="Times New Roman" w:hAnsi="Times New Roman" w:cs="Times New Roman"/>
      <w:b/>
      <w:kern w:val="0"/>
      <w:sz w:val="32"/>
      <w:szCs w:val="20"/>
      <w:lang w:val="en-AU"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906</Words>
  <Characters>5168</Characters>
  <Application>Microsoft Office Word</Application>
  <DocSecurity>0</DocSecurity>
  <Lines>43</Lines>
  <Paragraphs>12</Paragraphs>
  <ScaleCrop>false</ScaleCrop>
  <Company>微软中国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dcterms:created xsi:type="dcterms:W3CDTF">2019-11-15T09:06:00Z</dcterms:created>
  <dcterms:modified xsi:type="dcterms:W3CDTF">2021-03-24T01:16:00Z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