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9668D" w14:textId="77777777" w:rsidR="003625DD" w:rsidRDefault="002618DD">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Pr>
          <w:rFonts w:ascii="微软雅黑" w:eastAsia="微软雅黑" w:hAnsi="微软雅黑" w:cs="微软雅黑"/>
          <w:sz w:val="28"/>
          <w:szCs w:val="21"/>
          <w:shd w:val="clear" w:color="auto" w:fill="FFFFFF"/>
        </w:rPr>
        <w:t>上海建桥学院专升本【护理综合】课程考试大纲</w:t>
      </w:r>
    </w:p>
    <w:p w14:paraId="53C028C1"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一、考试目标</w:t>
      </w:r>
    </w:p>
    <w:p w14:paraId="0DE865EF" w14:textId="77777777" w:rsidR="003625DD" w:rsidRDefault="003625DD">
      <w:pPr>
        <w:spacing w:line="360" w:lineRule="auto"/>
      </w:pPr>
    </w:p>
    <w:p w14:paraId="279B31EE" w14:textId="77777777" w:rsidR="003625DD" w:rsidRDefault="002618DD">
      <w:pPr>
        <w:spacing w:line="360" w:lineRule="auto"/>
        <w:ind w:firstLineChars="200" w:firstLine="420"/>
      </w:pPr>
      <w:r>
        <w:rPr>
          <w:rFonts w:hint="eastAsia"/>
        </w:rPr>
        <w:t>测试学生获得从事护理工作所必需的基本理论、基本知识和基本技能，以及运用与护理工作相关的知识，有效而安全地完成护理工作的能力。</w:t>
      </w:r>
    </w:p>
    <w:p w14:paraId="07D74278"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681DA240"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二、考试细则</w:t>
      </w:r>
    </w:p>
    <w:p w14:paraId="53E654FB" w14:textId="77777777" w:rsidR="003625DD" w:rsidRDefault="003625DD">
      <w:pPr>
        <w:pStyle w:val="a7"/>
        <w:widowControl/>
        <w:shd w:val="clear" w:color="auto" w:fill="FFFFFF"/>
        <w:adjustRightInd w:val="0"/>
        <w:snapToGrid w:val="0"/>
        <w:spacing w:before="60" w:beforeAutospacing="0" w:afterAutospacing="0" w:line="360" w:lineRule="auto"/>
        <w:rPr>
          <w:rFonts w:cstheme="minorBidi"/>
          <w:kern w:val="2"/>
          <w:sz w:val="21"/>
          <w:szCs w:val="22"/>
        </w:rPr>
      </w:pPr>
    </w:p>
    <w:p w14:paraId="4656F1F5" w14:textId="72671C0A"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1.</w:t>
      </w:r>
      <w:r>
        <w:rPr>
          <w:rFonts w:cstheme="minorBidi" w:hint="eastAsia"/>
          <w:kern w:val="2"/>
          <w:sz w:val="21"/>
          <w:szCs w:val="22"/>
        </w:rPr>
        <w:t>报考要求：专科所学专业必须是护理</w:t>
      </w:r>
      <w:r>
        <w:rPr>
          <w:rFonts w:cstheme="minorBidi" w:hint="eastAsia"/>
          <w:kern w:val="2"/>
          <w:sz w:val="21"/>
          <w:szCs w:val="22"/>
        </w:rPr>
        <w:t>或助产</w:t>
      </w:r>
      <w:r>
        <w:rPr>
          <w:rFonts w:cstheme="minorBidi" w:hint="eastAsia"/>
          <w:kern w:val="2"/>
          <w:sz w:val="21"/>
          <w:szCs w:val="22"/>
        </w:rPr>
        <w:t>。</w:t>
      </w:r>
    </w:p>
    <w:p w14:paraId="108D1681"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2.</w:t>
      </w:r>
      <w:r>
        <w:rPr>
          <w:rFonts w:cstheme="minorBidi" w:hint="eastAsia"/>
          <w:kern w:val="2"/>
          <w:sz w:val="21"/>
          <w:szCs w:val="22"/>
        </w:rPr>
        <w:t>考试内容：包括护理学导论和基础护理学两部分。</w:t>
      </w:r>
    </w:p>
    <w:p w14:paraId="0FA505D1"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3.</w:t>
      </w:r>
      <w:r>
        <w:rPr>
          <w:rFonts w:cstheme="minorBidi" w:hint="eastAsia"/>
          <w:kern w:val="2"/>
          <w:sz w:val="21"/>
          <w:szCs w:val="22"/>
        </w:rPr>
        <w:t>考试形式及时间：考试形式为闭卷笔试，试卷满分为</w:t>
      </w:r>
      <w:r>
        <w:rPr>
          <w:rFonts w:cstheme="minorBidi" w:hint="eastAsia"/>
          <w:kern w:val="2"/>
          <w:sz w:val="21"/>
          <w:szCs w:val="22"/>
        </w:rPr>
        <w:t>100</w:t>
      </w:r>
      <w:r>
        <w:rPr>
          <w:rFonts w:cstheme="minorBidi" w:hint="eastAsia"/>
          <w:kern w:val="2"/>
          <w:sz w:val="21"/>
          <w:szCs w:val="22"/>
        </w:rPr>
        <w:t>分，考试时间为</w:t>
      </w:r>
      <w:r>
        <w:rPr>
          <w:rFonts w:cstheme="minorBidi" w:hint="eastAsia"/>
          <w:kern w:val="2"/>
          <w:sz w:val="21"/>
          <w:szCs w:val="22"/>
        </w:rPr>
        <w:t>120</w:t>
      </w:r>
      <w:r>
        <w:rPr>
          <w:rFonts w:cstheme="minorBidi" w:hint="eastAsia"/>
          <w:kern w:val="2"/>
          <w:sz w:val="21"/>
          <w:szCs w:val="22"/>
        </w:rPr>
        <w:t>分钟。</w:t>
      </w:r>
    </w:p>
    <w:p w14:paraId="48DCEA2F"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4.</w:t>
      </w:r>
      <w:r>
        <w:rPr>
          <w:rFonts w:cstheme="minorBidi" w:hint="eastAsia"/>
          <w:kern w:val="2"/>
          <w:sz w:val="21"/>
          <w:szCs w:val="22"/>
        </w:rPr>
        <w:t>题型及分值：名词解释（</w:t>
      </w:r>
      <w:r>
        <w:rPr>
          <w:rFonts w:cstheme="minorBidi" w:hint="eastAsia"/>
          <w:kern w:val="2"/>
          <w:sz w:val="21"/>
          <w:szCs w:val="22"/>
        </w:rPr>
        <w:t>5</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分）、选择题（</w:t>
      </w:r>
      <w:r>
        <w:rPr>
          <w:rFonts w:cstheme="minorBidi" w:hint="eastAsia"/>
          <w:kern w:val="2"/>
          <w:sz w:val="21"/>
          <w:szCs w:val="22"/>
        </w:rPr>
        <w:t>40</w:t>
      </w:r>
      <w:r>
        <w:rPr>
          <w:rFonts w:cstheme="minorBidi" w:hint="eastAsia"/>
          <w:kern w:val="2"/>
          <w:sz w:val="21"/>
          <w:szCs w:val="22"/>
        </w:rPr>
        <w:t>题，</w:t>
      </w:r>
      <w:r>
        <w:rPr>
          <w:rFonts w:cstheme="minorBidi" w:hint="eastAsia"/>
          <w:kern w:val="2"/>
          <w:sz w:val="21"/>
          <w:szCs w:val="22"/>
        </w:rPr>
        <w:t>40</w:t>
      </w:r>
      <w:r>
        <w:rPr>
          <w:rFonts w:cstheme="minorBidi" w:hint="eastAsia"/>
          <w:kern w:val="2"/>
          <w:sz w:val="21"/>
          <w:szCs w:val="22"/>
        </w:rPr>
        <w:t>分）、简答题（</w:t>
      </w:r>
      <w:r>
        <w:rPr>
          <w:rFonts w:cstheme="minorBidi" w:hint="eastAsia"/>
          <w:kern w:val="2"/>
          <w:sz w:val="21"/>
          <w:szCs w:val="22"/>
        </w:rPr>
        <w:t>4</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分）、案例分析题（</w:t>
      </w:r>
      <w:r>
        <w:rPr>
          <w:rFonts w:cstheme="minorBidi" w:hint="eastAsia"/>
          <w:kern w:val="2"/>
          <w:sz w:val="21"/>
          <w:szCs w:val="22"/>
        </w:rPr>
        <w:t>2</w:t>
      </w:r>
      <w:r>
        <w:rPr>
          <w:rFonts w:cstheme="minorBidi" w:hint="eastAsia"/>
          <w:kern w:val="2"/>
          <w:sz w:val="21"/>
          <w:szCs w:val="22"/>
        </w:rPr>
        <w:t>题，</w:t>
      </w:r>
      <w:r>
        <w:rPr>
          <w:rFonts w:cstheme="minorBidi" w:hint="eastAsia"/>
          <w:kern w:val="2"/>
          <w:sz w:val="21"/>
          <w:szCs w:val="22"/>
        </w:rPr>
        <w:t>20</w:t>
      </w:r>
      <w:r>
        <w:rPr>
          <w:rFonts w:cstheme="minorBidi" w:hint="eastAsia"/>
          <w:kern w:val="2"/>
          <w:sz w:val="21"/>
          <w:szCs w:val="22"/>
        </w:rPr>
        <w:t>分）。</w:t>
      </w:r>
    </w:p>
    <w:p w14:paraId="5E10DCF2" w14:textId="77777777" w:rsidR="003625DD" w:rsidRDefault="003625DD">
      <w:pPr>
        <w:pStyle w:val="a7"/>
        <w:widowControl/>
        <w:shd w:val="clear" w:color="auto" w:fill="FFFFFF"/>
        <w:adjustRightInd w:val="0"/>
        <w:snapToGrid w:val="0"/>
        <w:spacing w:beforeAutospacing="0" w:afterAutospacing="0" w:line="360" w:lineRule="auto"/>
        <w:rPr>
          <w:rFonts w:cstheme="minorBidi"/>
          <w:kern w:val="2"/>
          <w:sz w:val="21"/>
          <w:szCs w:val="22"/>
        </w:rPr>
      </w:pPr>
    </w:p>
    <w:p w14:paraId="47F921E1"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三、试卷题型及分值分布要求</w:t>
      </w:r>
    </w:p>
    <w:p w14:paraId="3B959925"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tbl>
      <w:tblPr>
        <w:tblW w:w="50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205"/>
        <w:gridCol w:w="2865"/>
      </w:tblGrid>
      <w:tr w:rsidR="003625DD" w14:paraId="1C80D13C" w14:textId="77777777">
        <w:trPr>
          <w:jc w:val="center"/>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7520E333"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题型</w:t>
            </w:r>
          </w:p>
        </w:tc>
        <w:tc>
          <w:tcPr>
            <w:tcW w:w="2865"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09B915AA"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分值</w:t>
            </w:r>
          </w:p>
        </w:tc>
      </w:tr>
      <w:tr w:rsidR="003625DD" w14:paraId="5530AAE2"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4E7A04C"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名词解释</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4FD519D"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4C61F248"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718787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选择题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10D166D0"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40</w:t>
            </w:r>
          </w:p>
        </w:tc>
      </w:tr>
      <w:tr w:rsidR="003625DD" w14:paraId="13629AFE"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498A140"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简答题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E6F0012"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77D9D908"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8E0BDB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案例分析题</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70DA0AB6"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20</w:t>
            </w:r>
          </w:p>
        </w:tc>
      </w:tr>
      <w:tr w:rsidR="003625DD" w14:paraId="0BFE35AD" w14:textId="77777777">
        <w:trPr>
          <w:jc w:val="center"/>
        </w:trPr>
        <w:tc>
          <w:tcPr>
            <w:tcW w:w="220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B67FDEA"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合计</w:t>
            </w:r>
          </w:p>
        </w:tc>
        <w:tc>
          <w:tcPr>
            <w:tcW w:w="2865"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F84FD81" w14:textId="77777777" w:rsidR="003625DD" w:rsidRDefault="002618DD">
            <w:pPr>
              <w:pStyle w:val="a7"/>
              <w:widowControl/>
              <w:spacing w:after="90" w:afterAutospacing="0"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100</w:t>
            </w:r>
          </w:p>
        </w:tc>
      </w:tr>
    </w:tbl>
    <w:p w14:paraId="325DF255"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59268177"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四、考试内容和要求</w:t>
      </w:r>
    </w:p>
    <w:p w14:paraId="3541A339"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321F9840" w14:textId="77777777" w:rsidR="003625DD" w:rsidRDefault="002618DD">
      <w:pPr>
        <w:pStyle w:val="a7"/>
        <w:widowControl/>
        <w:shd w:val="clear" w:color="auto" w:fill="FFFFFF"/>
        <w:spacing w:before="60" w:beforeAutospacing="0" w:afterAutospacing="0" w:line="360" w:lineRule="exact"/>
        <w:rPr>
          <w:rFonts w:cstheme="minorBidi"/>
          <w:b/>
          <w:kern w:val="2"/>
          <w:sz w:val="21"/>
          <w:szCs w:val="22"/>
        </w:rPr>
      </w:pPr>
      <w:r>
        <w:rPr>
          <w:rFonts w:cstheme="minorBidi" w:hint="eastAsia"/>
          <w:b/>
          <w:kern w:val="2"/>
          <w:sz w:val="21"/>
          <w:szCs w:val="22"/>
        </w:rPr>
        <w:t>（一）护理学导论</w:t>
      </w:r>
    </w:p>
    <w:p w14:paraId="0120A13A" w14:textId="77777777" w:rsidR="003625DD" w:rsidRDefault="003625DD">
      <w:pPr>
        <w:pStyle w:val="a7"/>
        <w:widowControl/>
        <w:shd w:val="clear" w:color="auto" w:fill="FFFFFF"/>
        <w:spacing w:before="60" w:beforeAutospacing="0" w:afterAutospacing="0" w:line="360" w:lineRule="exact"/>
        <w:ind w:left="720"/>
        <w:rPr>
          <w:rFonts w:cstheme="minorBidi"/>
          <w:b/>
          <w:kern w:val="2"/>
          <w:sz w:val="21"/>
          <w:szCs w:val="22"/>
        </w:rPr>
      </w:pPr>
    </w:p>
    <w:tbl>
      <w:tblPr>
        <w:tblStyle w:val="a8"/>
        <w:tblW w:w="9391" w:type="dxa"/>
        <w:tblLook w:val="04A0" w:firstRow="1" w:lastRow="0" w:firstColumn="1" w:lastColumn="0" w:noHBand="0" w:noVBand="1"/>
      </w:tblPr>
      <w:tblGrid>
        <w:gridCol w:w="1242"/>
        <w:gridCol w:w="1843"/>
        <w:gridCol w:w="6306"/>
      </w:tblGrid>
      <w:tr w:rsidR="003625DD" w14:paraId="502611F1" w14:textId="77777777">
        <w:trPr>
          <w:trHeight w:val="545"/>
        </w:trPr>
        <w:tc>
          <w:tcPr>
            <w:tcW w:w="1242" w:type="dxa"/>
          </w:tcPr>
          <w:p w14:paraId="5BD5D69B"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序号</w:t>
            </w:r>
          </w:p>
        </w:tc>
        <w:tc>
          <w:tcPr>
            <w:tcW w:w="1843" w:type="dxa"/>
          </w:tcPr>
          <w:p w14:paraId="3596DC6A"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内容</w:t>
            </w:r>
          </w:p>
        </w:tc>
        <w:tc>
          <w:tcPr>
            <w:tcW w:w="6306" w:type="dxa"/>
          </w:tcPr>
          <w:p w14:paraId="7792A738"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要求</w:t>
            </w:r>
          </w:p>
        </w:tc>
      </w:tr>
      <w:tr w:rsidR="003625DD" w14:paraId="34973DDC" w14:textId="77777777">
        <w:trPr>
          <w:trHeight w:val="545"/>
        </w:trPr>
        <w:tc>
          <w:tcPr>
            <w:tcW w:w="1242" w:type="dxa"/>
            <w:vAlign w:val="center"/>
          </w:tcPr>
          <w:p w14:paraId="5F8B3B77"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w:t>
            </w:r>
          </w:p>
        </w:tc>
        <w:tc>
          <w:tcPr>
            <w:tcW w:w="1843" w:type="dxa"/>
            <w:vAlign w:val="center"/>
          </w:tcPr>
          <w:p w14:paraId="7B753A2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护理学的发展及基本概念</w:t>
            </w:r>
          </w:p>
        </w:tc>
        <w:tc>
          <w:tcPr>
            <w:tcW w:w="6306" w:type="dxa"/>
            <w:vAlign w:val="center"/>
          </w:tcPr>
          <w:p w14:paraId="5B4559B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知道护理学的发展、演变过程及每个阶段的发展特点、南丁格尔对护理学发展的贡献、护理专业的工作范畴。</w:t>
            </w:r>
          </w:p>
          <w:p w14:paraId="0E8F901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理解护理概念的</w:t>
            </w:r>
            <w:r>
              <w:rPr>
                <w:rFonts w:ascii="宋体" w:eastAsia="宋体" w:hAnsi="宋体" w:cs="Times New Roman" w:hint="eastAsia"/>
                <w:color w:val="000000"/>
                <w:szCs w:val="21"/>
              </w:rPr>
              <w:t>三</w:t>
            </w:r>
            <w:r>
              <w:rPr>
                <w:rFonts w:ascii="宋体" w:eastAsia="宋体" w:hAnsi="宋体" w:cs="Times New Roman" w:hint="eastAsia"/>
                <w:color w:val="000000"/>
                <w:szCs w:val="21"/>
              </w:rPr>
              <w:t>个演变过程及每个过程的特征</w:t>
            </w:r>
            <w:r>
              <w:rPr>
                <w:rFonts w:ascii="宋体" w:eastAsia="宋体" w:hAnsi="宋体" w:hint="eastAsia"/>
                <w:color w:val="000000"/>
                <w:szCs w:val="21"/>
              </w:rPr>
              <w:t>、近</w:t>
            </w:r>
            <w:r>
              <w:rPr>
                <w:rFonts w:ascii="宋体" w:eastAsia="宋体" w:hAnsi="宋体" w:cs="Times New Roman" w:hint="eastAsia"/>
                <w:color w:val="000000"/>
                <w:szCs w:val="21"/>
              </w:rPr>
              <w:t>现代护理发展的各个重要阶段</w:t>
            </w:r>
            <w:r>
              <w:rPr>
                <w:rFonts w:ascii="宋体" w:eastAsia="宋体" w:hAnsi="宋体" w:hint="eastAsia"/>
                <w:color w:val="000000"/>
                <w:szCs w:val="21"/>
              </w:rPr>
              <w:t>的主要特点、护理专业的特点、</w:t>
            </w:r>
            <w:r>
              <w:rPr>
                <w:rFonts w:ascii="宋体" w:eastAsia="宋体" w:hAnsi="宋体" w:cs="Times New Roman" w:hint="eastAsia"/>
                <w:color w:val="000000"/>
                <w:szCs w:val="21"/>
              </w:rPr>
              <w:t>专业护士的角色</w:t>
            </w:r>
            <w:r>
              <w:rPr>
                <w:rFonts w:ascii="宋体" w:eastAsia="宋体" w:hAnsi="宋体" w:cs="Times New Roman" w:hint="eastAsia"/>
                <w:color w:val="000000"/>
                <w:szCs w:val="21"/>
              </w:rPr>
              <w:lastRenderedPageBreak/>
              <w:t>要求。</w:t>
            </w:r>
          </w:p>
        </w:tc>
      </w:tr>
      <w:tr w:rsidR="003625DD" w14:paraId="317D3C16" w14:textId="77777777">
        <w:trPr>
          <w:trHeight w:val="545"/>
        </w:trPr>
        <w:tc>
          <w:tcPr>
            <w:tcW w:w="1242" w:type="dxa"/>
            <w:vAlign w:val="center"/>
          </w:tcPr>
          <w:p w14:paraId="292CFEA9"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2</w:t>
            </w:r>
          </w:p>
        </w:tc>
        <w:tc>
          <w:tcPr>
            <w:tcW w:w="1843" w:type="dxa"/>
            <w:vAlign w:val="center"/>
          </w:tcPr>
          <w:p w14:paraId="3E3255C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健康与疾病</w:t>
            </w:r>
          </w:p>
        </w:tc>
        <w:tc>
          <w:tcPr>
            <w:tcW w:w="6306" w:type="dxa"/>
            <w:vAlign w:val="center"/>
          </w:tcPr>
          <w:p w14:paraId="2C11E94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知道健康与疾病的相关概念、影响健康的因素和健康的测量指标、病人常见的行为和心理反应。</w:t>
            </w:r>
          </w:p>
          <w:p w14:paraId="462FC3F4"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理解健康与疾病的关系、常见的病人角色适应不良、疾病的影响、全球及我国卫生保健的战略目标及健康中国战略。</w:t>
            </w:r>
          </w:p>
        </w:tc>
      </w:tr>
      <w:tr w:rsidR="003625DD" w14:paraId="31563202" w14:textId="77777777">
        <w:trPr>
          <w:trHeight w:val="545"/>
        </w:trPr>
        <w:tc>
          <w:tcPr>
            <w:tcW w:w="1242" w:type="dxa"/>
            <w:vAlign w:val="center"/>
          </w:tcPr>
          <w:p w14:paraId="2C76E6A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3</w:t>
            </w:r>
          </w:p>
        </w:tc>
        <w:tc>
          <w:tcPr>
            <w:tcW w:w="1843" w:type="dxa"/>
            <w:vAlign w:val="center"/>
          </w:tcPr>
          <w:p w14:paraId="687BFD51"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需要与关怀</w:t>
            </w:r>
          </w:p>
        </w:tc>
        <w:tc>
          <w:tcPr>
            <w:tcW w:w="6306" w:type="dxa"/>
            <w:vAlign w:val="center"/>
          </w:tcPr>
          <w:p w14:paraId="77B20C6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知道马斯洛的人类基本需要层次论、关怀的内涵、</w:t>
            </w:r>
            <w:r>
              <w:rPr>
                <w:rFonts w:ascii="宋体" w:eastAsia="宋体" w:hAnsi="宋体" w:cs="Times New Roman" w:hint="eastAsia"/>
                <w:color w:val="000000"/>
                <w:szCs w:val="21"/>
              </w:rPr>
              <w:t>Watson</w:t>
            </w:r>
            <w:r>
              <w:rPr>
                <w:rFonts w:ascii="宋体" w:eastAsia="宋体" w:hAnsi="宋体" w:cs="Times New Roman" w:hint="eastAsia"/>
                <w:color w:val="000000"/>
                <w:szCs w:val="21"/>
              </w:rPr>
              <w:t>人性关怀理论和</w:t>
            </w:r>
            <w:r>
              <w:rPr>
                <w:rFonts w:ascii="宋体" w:eastAsia="宋体" w:hAnsi="宋体" w:cs="Times New Roman" w:hint="eastAsia"/>
                <w:color w:val="000000"/>
                <w:szCs w:val="21"/>
              </w:rPr>
              <w:t>Swanson</w:t>
            </w:r>
            <w:r>
              <w:rPr>
                <w:rFonts w:ascii="宋体" w:eastAsia="宋体" w:hAnsi="宋体" w:cs="Times New Roman" w:hint="eastAsia"/>
                <w:color w:val="000000"/>
                <w:szCs w:val="21"/>
              </w:rPr>
              <w:t>关怀理论的基本观点。</w:t>
            </w:r>
          </w:p>
          <w:p w14:paraId="0492AE8D"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理解马斯洛的人类基本需要层次论在护理实践中应用的意义、影响病人需要满足的因素、护理关怀的意义和作用。</w:t>
            </w:r>
          </w:p>
          <w:p w14:paraId="0A3F16B1"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依据人类基本需要层次论分析病人的需要并采用相应的策略满足其基本需要。</w:t>
            </w:r>
          </w:p>
        </w:tc>
      </w:tr>
      <w:tr w:rsidR="003625DD" w14:paraId="642A428C" w14:textId="77777777">
        <w:trPr>
          <w:trHeight w:val="545"/>
        </w:trPr>
        <w:tc>
          <w:tcPr>
            <w:tcW w:w="1242" w:type="dxa"/>
            <w:vAlign w:val="center"/>
          </w:tcPr>
          <w:p w14:paraId="52C948E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4</w:t>
            </w:r>
          </w:p>
        </w:tc>
        <w:tc>
          <w:tcPr>
            <w:tcW w:w="1843" w:type="dxa"/>
            <w:vAlign w:val="center"/>
          </w:tcPr>
          <w:p w14:paraId="0EFF698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护患关系与人际沟通</w:t>
            </w:r>
          </w:p>
        </w:tc>
        <w:tc>
          <w:tcPr>
            <w:tcW w:w="6306" w:type="dxa"/>
            <w:vAlign w:val="center"/>
          </w:tcPr>
          <w:p w14:paraId="7780AAD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知道护患关系的基本模式和分期、人际沟通的基本要素、人际关系和非语言</w:t>
            </w:r>
            <w:r>
              <w:rPr>
                <w:rFonts w:ascii="宋体" w:eastAsia="宋体" w:hAnsi="宋体" w:cs="Times New Roman" w:hint="eastAsia"/>
                <w:color w:val="000000"/>
                <w:szCs w:val="21"/>
              </w:rPr>
              <w:t>沟通的类型。</w:t>
            </w:r>
          </w:p>
          <w:p w14:paraId="1E2821C1"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理解人际关系、护患关系、人际沟通、护患沟通、语言沟通、非语言沟通、倾听、同理、自我暴露的概念</w:t>
            </w:r>
            <w:r>
              <w:rPr>
                <w:rFonts w:ascii="宋体" w:eastAsia="宋体" w:hAnsi="宋体" w:cs="Times New Roman" w:hint="eastAsia"/>
                <w:color w:val="000000"/>
                <w:szCs w:val="21"/>
              </w:rPr>
              <w:t>。</w:t>
            </w:r>
          </w:p>
          <w:p w14:paraId="04A39C98"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说明人际关系、护患关系、护患沟通的特征；分析人际沟通的层次；明确阻碍护患沟通的因素。</w:t>
            </w:r>
          </w:p>
          <w:p w14:paraId="13BB1E88"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运用人际关系基本理论模拟并处理护理工作中的各种人际关系；</w:t>
            </w:r>
          </w:p>
          <w:p w14:paraId="0C8EFA70" w14:textId="77777777" w:rsidR="003625DD" w:rsidRDefault="002618DD">
            <w:r>
              <w:rPr>
                <w:rFonts w:ascii="宋体" w:eastAsia="宋体" w:hAnsi="宋体" w:cs="Times New Roman" w:hint="eastAsia"/>
                <w:color w:val="000000"/>
                <w:szCs w:val="21"/>
              </w:rPr>
              <w:t>运用人际沟通的技巧进行护患间有效的沟通。</w:t>
            </w:r>
          </w:p>
        </w:tc>
      </w:tr>
      <w:tr w:rsidR="003625DD" w14:paraId="61B87268" w14:textId="77777777">
        <w:trPr>
          <w:trHeight w:val="545"/>
        </w:trPr>
        <w:tc>
          <w:tcPr>
            <w:tcW w:w="1242" w:type="dxa"/>
            <w:vAlign w:val="center"/>
          </w:tcPr>
          <w:p w14:paraId="4447E6F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5</w:t>
            </w:r>
          </w:p>
        </w:tc>
        <w:tc>
          <w:tcPr>
            <w:tcW w:w="1843" w:type="dxa"/>
            <w:vAlign w:val="center"/>
          </w:tcPr>
          <w:p w14:paraId="1574D0C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护理程序</w:t>
            </w:r>
          </w:p>
        </w:tc>
        <w:tc>
          <w:tcPr>
            <w:tcW w:w="6306" w:type="dxa"/>
            <w:vAlign w:val="center"/>
          </w:tcPr>
          <w:p w14:paraId="3D7B02F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知道护理程序及护理诊断的概念、资料收集的内容和方法、护理诊断的排序原则、护理诊断的陈述结构与方式、制订预期目标和护理措施的要求、临床护理记录常用的记录方法。</w:t>
            </w:r>
          </w:p>
          <w:p w14:paraId="332E9ECB"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理解护理诊断的四种类型及组成部分；鉴别护理诊断与合作性问题、医疗诊断；鉴别主观资料和客观资料。</w:t>
            </w:r>
          </w:p>
          <w:p w14:paraId="1E8EA764" w14:textId="77777777" w:rsidR="003625DD" w:rsidRDefault="002618DD">
            <w:pPr>
              <w:snapToGrid w:val="0"/>
              <w:spacing w:line="288" w:lineRule="auto"/>
              <w:jc w:val="left"/>
            </w:pPr>
            <w:r>
              <w:rPr>
                <w:rFonts w:ascii="宋体" w:eastAsia="宋体" w:hAnsi="宋体" w:cs="Times New Roman" w:hint="eastAsia"/>
                <w:color w:val="000000"/>
                <w:szCs w:val="21"/>
              </w:rPr>
              <w:t>3.</w:t>
            </w:r>
            <w:r>
              <w:rPr>
                <w:rFonts w:ascii="宋体" w:eastAsia="宋体" w:hAnsi="宋体" w:cs="Times New Roman" w:hint="eastAsia"/>
                <w:color w:val="000000"/>
                <w:szCs w:val="21"/>
              </w:rPr>
              <w:t>运用相关标准判断护理诊断、护理目标、护理措施的正误。</w:t>
            </w:r>
          </w:p>
        </w:tc>
      </w:tr>
      <w:tr w:rsidR="003625DD" w14:paraId="538FA13E" w14:textId="77777777">
        <w:trPr>
          <w:trHeight w:val="545"/>
        </w:trPr>
        <w:tc>
          <w:tcPr>
            <w:tcW w:w="1242" w:type="dxa"/>
            <w:vAlign w:val="center"/>
          </w:tcPr>
          <w:p w14:paraId="7C09D9C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6</w:t>
            </w:r>
          </w:p>
        </w:tc>
        <w:tc>
          <w:tcPr>
            <w:tcW w:w="1843" w:type="dxa"/>
            <w:vAlign w:val="center"/>
          </w:tcPr>
          <w:p w14:paraId="20F43A2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护理理论及模式</w:t>
            </w:r>
          </w:p>
        </w:tc>
        <w:tc>
          <w:tcPr>
            <w:tcW w:w="6306" w:type="dxa"/>
            <w:vAlign w:val="center"/>
          </w:tcPr>
          <w:p w14:paraId="5468A17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知道护理理念、护理理论的相关概念及发展过程。</w:t>
            </w:r>
          </w:p>
          <w:p w14:paraId="4D08541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理解奥瑞</w:t>
            </w:r>
            <w:proofErr w:type="gramStart"/>
            <w:r>
              <w:rPr>
                <w:rFonts w:ascii="宋体" w:eastAsia="宋体" w:hAnsi="宋体" w:cs="Times New Roman" w:hint="eastAsia"/>
                <w:color w:val="000000"/>
                <w:szCs w:val="21"/>
              </w:rPr>
              <w:t>姆</w:t>
            </w:r>
            <w:proofErr w:type="gramEnd"/>
            <w:r>
              <w:rPr>
                <w:rFonts w:ascii="宋体" w:eastAsia="宋体" w:hAnsi="宋体" w:cs="Times New Roman" w:hint="eastAsia"/>
                <w:color w:val="000000"/>
                <w:szCs w:val="21"/>
              </w:rPr>
              <w:t>自理理论、罗伊适应模式的主要内容；</w:t>
            </w:r>
            <w:proofErr w:type="gramStart"/>
            <w:r>
              <w:rPr>
                <w:rFonts w:ascii="宋体" w:eastAsia="宋体" w:hAnsi="宋体" w:cs="Times New Roman" w:hint="eastAsia"/>
                <w:color w:val="000000"/>
                <w:szCs w:val="21"/>
              </w:rPr>
              <w:t>纽曼</w:t>
            </w:r>
            <w:proofErr w:type="gramEnd"/>
            <w:r>
              <w:rPr>
                <w:rFonts w:ascii="宋体" w:eastAsia="宋体" w:hAnsi="宋体" w:cs="Times New Roman" w:hint="eastAsia"/>
                <w:color w:val="000000"/>
                <w:szCs w:val="21"/>
              </w:rPr>
              <w:t>系统模式的主要观点。</w:t>
            </w:r>
          </w:p>
        </w:tc>
      </w:tr>
      <w:tr w:rsidR="003625DD" w14:paraId="44110BEF" w14:textId="77777777">
        <w:trPr>
          <w:trHeight w:val="545"/>
        </w:trPr>
        <w:tc>
          <w:tcPr>
            <w:tcW w:w="1242" w:type="dxa"/>
            <w:vAlign w:val="center"/>
          </w:tcPr>
          <w:p w14:paraId="4829B70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7</w:t>
            </w:r>
          </w:p>
        </w:tc>
        <w:tc>
          <w:tcPr>
            <w:tcW w:w="1843" w:type="dxa"/>
            <w:vAlign w:val="center"/>
          </w:tcPr>
          <w:p w14:paraId="035EF916"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护理伦理</w:t>
            </w:r>
          </w:p>
        </w:tc>
        <w:tc>
          <w:tcPr>
            <w:tcW w:w="6306" w:type="dxa"/>
            <w:vAlign w:val="center"/>
          </w:tcPr>
          <w:p w14:paraId="6D86724B"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知道护理伦理基本原则、护理</w:t>
            </w:r>
            <w:r>
              <w:rPr>
                <w:rFonts w:ascii="宋体" w:eastAsia="宋体" w:hAnsi="宋体" w:cs="Times New Roman" w:hint="eastAsia"/>
                <w:color w:val="000000"/>
                <w:szCs w:val="21"/>
              </w:rPr>
              <w:t>道德的规范与范畴、病人的权利与义务。</w:t>
            </w:r>
          </w:p>
          <w:p w14:paraId="59DB950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理解职业道德、护理道德修养及知情同意的概念、生命伦理学中的有关理论、常见的生命伦理学伦理难题及处理方法。</w:t>
            </w:r>
          </w:p>
          <w:p w14:paraId="57F0985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分析判断护理活动中的伦理问题。</w:t>
            </w:r>
          </w:p>
        </w:tc>
      </w:tr>
      <w:tr w:rsidR="003625DD" w14:paraId="3A84604C" w14:textId="77777777">
        <w:trPr>
          <w:trHeight w:val="545"/>
        </w:trPr>
        <w:tc>
          <w:tcPr>
            <w:tcW w:w="1242" w:type="dxa"/>
            <w:vAlign w:val="center"/>
          </w:tcPr>
          <w:p w14:paraId="5D03B0DB" w14:textId="77777777" w:rsidR="003625DD" w:rsidRDefault="002618DD">
            <w:pPr>
              <w:pStyle w:val="a7"/>
              <w:widowControl/>
              <w:spacing w:before="60" w:beforeAutospacing="0" w:afterAutospacing="0" w:line="360" w:lineRule="exact"/>
              <w:jc w:val="center"/>
              <w:rPr>
                <w:rFonts w:ascii="宋体" w:eastAsia="宋体" w:hAnsi="宋体"/>
                <w:color w:val="000000"/>
                <w:kern w:val="2"/>
                <w:sz w:val="21"/>
                <w:szCs w:val="21"/>
              </w:rPr>
            </w:pPr>
            <w:r>
              <w:rPr>
                <w:rFonts w:ascii="宋体" w:eastAsia="宋体" w:hAnsi="宋体" w:hint="eastAsia"/>
                <w:color w:val="000000"/>
                <w:kern w:val="2"/>
                <w:sz w:val="21"/>
                <w:szCs w:val="21"/>
              </w:rPr>
              <w:t>8</w:t>
            </w:r>
          </w:p>
        </w:tc>
        <w:tc>
          <w:tcPr>
            <w:tcW w:w="1843" w:type="dxa"/>
            <w:vAlign w:val="center"/>
          </w:tcPr>
          <w:p w14:paraId="71A4A403" w14:textId="77777777" w:rsidR="003625DD" w:rsidRDefault="002618DD">
            <w:pPr>
              <w:pStyle w:val="a7"/>
              <w:widowControl/>
              <w:spacing w:before="60" w:beforeAutospacing="0" w:afterAutospacing="0" w:line="360" w:lineRule="exact"/>
              <w:jc w:val="center"/>
              <w:rPr>
                <w:rFonts w:ascii="宋体" w:eastAsia="宋体" w:hAnsi="宋体"/>
                <w:color w:val="000000"/>
                <w:kern w:val="2"/>
                <w:sz w:val="21"/>
                <w:szCs w:val="21"/>
              </w:rPr>
            </w:pPr>
            <w:r>
              <w:rPr>
                <w:rFonts w:ascii="微软雅黑" w:eastAsia="微软雅黑" w:hAnsi="微软雅黑" w:cs="微软雅黑" w:hint="eastAsia"/>
                <w:bCs/>
                <w:sz w:val="21"/>
                <w:szCs w:val="21"/>
                <w:shd w:val="clear" w:color="auto" w:fill="FFFFFF"/>
              </w:rPr>
              <w:t>护理专业中的法律问题</w:t>
            </w:r>
          </w:p>
        </w:tc>
        <w:tc>
          <w:tcPr>
            <w:tcW w:w="6306" w:type="dxa"/>
            <w:vAlign w:val="center"/>
          </w:tcPr>
          <w:p w14:paraId="5434FADA"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知道医疗纠纷、医疗事故的概念、护理法的基本内容。</w:t>
            </w:r>
          </w:p>
          <w:p w14:paraId="0F886F77"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理解医疗纠纷的分类、医疗事故的构成要件和分级、举证责任倒置的基本含义、护理工作中专业和相关法律法规的类型、护士的工作权限。</w:t>
            </w:r>
          </w:p>
          <w:p w14:paraId="0028DBC9" w14:textId="77777777" w:rsidR="003625DD" w:rsidRDefault="002618DD">
            <w:pPr>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分析医疗事故的分级、护理工作中的法律问题。</w:t>
            </w:r>
          </w:p>
        </w:tc>
      </w:tr>
    </w:tbl>
    <w:p w14:paraId="036F18E2" w14:textId="77777777" w:rsidR="003625DD" w:rsidRDefault="003625DD">
      <w:pPr>
        <w:pStyle w:val="a7"/>
        <w:widowControl/>
        <w:shd w:val="clear" w:color="auto" w:fill="FFFFFF"/>
        <w:spacing w:before="60" w:beforeAutospacing="0" w:afterAutospacing="0" w:line="360" w:lineRule="exact"/>
        <w:rPr>
          <w:rFonts w:ascii="宋体" w:eastAsia="宋体" w:hAnsi="宋体"/>
          <w:color w:val="000000"/>
          <w:kern w:val="2"/>
          <w:sz w:val="21"/>
          <w:szCs w:val="21"/>
        </w:rPr>
      </w:pPr>
    </w:p>
    <w:p w14:paraId="581A4CB9"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03FE3F03"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4BC3F57C" w14:textId="77777777" w:rsidR="003625DD" w:rsidRDefault="002618DD">
      <w:pPr>
        <w:pStyle w:val="a7"/>
        <w:widowControl/>
        <w:shd w:val="clear" w:color="auto" w:fill="FFFFFF"/>
        <w:spacing w:before="60" w:beforeAutospacing="0" w:afterAutospacing="0" w:line="360" w:lineRule="exact"/>
        <w:rPr>
          <w:rFonts w:cstheme="minorBidi"/>
          <w:b/>
          <w:kern w:val="2"/>
          <w:sz w:val="21"/>
          <w:szCs w:val="22"/>
        </w:rPr>
      </w:pPr>
      <w:r>
        <w:rPr>
          <w:rFonts w:cstheme="minorBidi" w:hint="eastAsia"/>
          <w:b/>
          <w:kern w:val="2"/>
          <w:sz w:val="21"/>
          <w:szCs w:val="22"/>
        </w:rPr>
        <w:lastRenderedPageBreak/>
        <w:t>（二）基础护理学</w:t>
      </w:r>
    </w:p>
    <w:p w14:paraId="37AD7402"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tbl>
      <w:tblPr>
        <w:tblStyle w:val="a8"/>
        <w:tblW w:w="9391" w:type="dxa"/>
        <w:tblLook w:val="04A0" w:firstRow="1" w:lastRow="0" w:firstColumn="1" w:lastColumn="0" w:noHBand="0" w:noVBand="1"/>
      </w:tblPr>
      <w:tblGrid>
        <w:gridCol w:w="1242"/>
        <w:gridCol w:w="1843"/>
        <w:gridCol w:w="6306"/>
      </w:tblGrid>
      <w:tr w:rsidR="003625DD" w14:paraId="7F5F4150" w14:textId="77777777">
        <w:trPr>
          <w:trHeight w:val="545"/>
        </w:trPr>
        <w:tc>
          <w:tcPr>
            <w:tcW w:w="1242" w:type="dxa"/>
          </w:tcPr>
          <w:p w14:paraId="14484207"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序号</w:t>
            </w:r>
          </w:p>
        </w:tc>
        <w:tc>
          <w:tcPr>
            <w:tcW w:w="1843" w:type="dxa"/>
          </w:tcPr>
          <w:p w14:paraId="3319BD18"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内容</w:t>
            </w:r>
          </w:p>
        </w:tc>
        <w:tc>
          <w:tcPr>
            <w:tcW w:w="6306" w:type="dxa"/>
          </w:tcPr>
          <w:p w14:paraId="7D77FE2F" w14:textId="77777777" w:rsidR="003625DD" w:rsidRDefault="002618DD">
            <w:pPr>
              <w:pStyle w:val="a7"/>
              <w:widowControl/>
              <w:spacing w:before="60" w:beforeAutospacing="0" w:afterAutospacing="0" w:line="360" w:lineRule="exact"/>
              <w:jc w:val="center"/>
              <w:rPr>
                <w:rFonts w:ascii="微软雅黑" w:eastAsia="微软雅黑" w:hAnsi="微软雅黑" w:cs="微软雅黑"/>
                <w:b/>
                <w:bCs/>
                <w:sz w:val="21"/>
                <w:szCs w:val="21"/>
                <w:shd w:val="clear" w:color="auto" w:fill="FFFFFF"/>
              </w:rPr>
            </w:pPr>
            <w:r>
              <w:rPr>
                <w:rFonts w:ascii="微软雅黑" w:eastAsia="微软雅黑" w:hAnsi="微软雅黑" w:cs="微软雅黑" w:hint="eastAsia"/>
                <w:b/>
                <w:bCs/>
                <w:sz w:val="21"/>
                <w:szCs w:val="21"/>
                <w:shd w:val="clear" w:color="auto" w:fill="FFFFFF"/>
              </w:rPr>
              <w:t>要求</w:t>
            </w:r>
          </w:p>
        </w:tc>
      </w:tr>
      <w:tr w:rsidR="003625DD" w14:paraId="610A6B58" w14:textId="77777777">
        <w:trPr>
          <w:trHeight w:val="545"/>
        </w:trPr>
        <w:tc>
          <w:tcPr>
            <w:tcW w:w="1242" w:type="dxa"/>
            <w:vAlign w:val="center"/>
          </w:tcPr>
          <w:p w14:paraId="04599E2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w:t>
            </w:r>
          </w:p>
        </w:tc>
        <w:tc>
          <w:tcPr>
            <w:tcW w:w="1843" w:type="dxa"/>
            <w:vAlign w:val="center"/>
          </w:tcPr>
          <w:p w14:paraId="7D156DB9"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环境管理</w:t>
            </w:r>
          </w:p>
        </w:tc>
        <w:tc>
          <w:tcPr>
            <w:tcW w:w="6306" w:type="dxa"/>
            <w:vAlign w:val="center"/>
          </w:tcPr>
          <w:p w14:paraId="3A1F427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知道医院环境的分类</w:t>
            </w:r>
            <w:r>
              <w:rPr>
                <w:rFonts w:ascii="宋体" w:eastAsia="宋体" w:hAnsi="宋体" w:cs="Times New Roman" w:hint="eastAsia"/>
                <w:color w:val="000000"/>
                <w:szCs w:val="21"/>
              </w:rPr>
              <w:t>、</w:t>
            </w:r>
            <w:r>
              <w:rPr>
                <w:rFonts w:ascii="宋体" w:eastAsia="宋体" w:hAnsi="宋体" w:cs="Times New Roman" w:hint="eastAsia"/>
                <w:color w:val="000000"/>
                <w:szCs w:val="21"/>
              </w:rPr>
              <w:t>良好的医院环境应具备的特点</w:t>
            </w:r>
            <w:r>
              <w:rPr>
                <w:rFonts w:ascii="宋体" w:eastAsia="宋体" w:hAnsi="宋体" w:cs="Times New Roman" w:hint="eastAsia"/>
                <w:color w:val="000000"/>
                <w:szCs w:val="21"/>
              </w:rPr>
              <w:t>、</w:t>
            </w:r>
            <w:r>
              <w:rPr>
                <w:rFonts w:ascii="宋体" w:eastAsia="宋体" w:hAnsi="宋体" w:cs="Times New Roman" w:hint="eastAsia"/>
                <w:color w:val="000000"/>
                <w:szCs w:val="21"/>
              </w:rPr>
              <w:t>医院环境调控的有关要素。</w:t>
            </w:r>
          </w:p>
          <w:p w14:paraId="5C45138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能正确运用相关知识为病人创造安全、舒适的治疗环境。</w:t>
            </w:r>
          </w:p>
        </w:tc>
      </w:tr>
      <w:tr w:rsidR="003625DD" w14:paraId="74541129" w14:textId="77777777">
        <w:trPr>
          <w:trHeight w:val="545"/>
        </w:trPr>
        <w:tc>
          <w:tcPr>
            <w:tcW w:w="1242" w:type="dxa"/>
            <w:vAlign w:val="center"/>
          </w:tcPr>
          <w:p w14:paraId="67C4F83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2</w:t>
            </w:r>
          </w:p>
        </w:tc>
        <w:tc>
          <w:tcPr>
            <w:tcW w:w="1843" w:type="dxa"/>
            <w:vAlign w:val="center"/>
          </w:tcPr>
          <w:p w14:paraId="0A74443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医院感染的预防与控制</w:t>
            </w:r>
          </w:p>
        </w:tc>
        <w:tc>
          <w:tcPr>
            <w:tcW w:w="6306" w:type="dxa"/>
            <w:vAlign w:val="center"/>
          </w:tcPr>
          <w:p w14:paraId="296A5FE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知道医院感染的分类、形成原因及条件。</w:t>
            </w:r>
          </w:p>
          <w:p w14:paraId="70ED096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知道常用的消毒灭菌方法及注意事项。</w:t>
            </w:r>
          </w:p>
          <w:p w14:paraId="508EF6B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知道无菌技术操作原则和隔离原则。</w:t>
            </w:r>
          </w:p>
          <w:p w14:paraId="179B577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理解医院感染、清洁、消毒、灭菌、手卫生、无菌技术、标准预防及隔离的概念。</w:t>
            </w:r>
          </w:p>
          <w:p w14:paraId="3D76742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理解隔离区域的划分标准、医院不同病区的建筑布局与隔离要求</w:t>
            </w:r>
            <w:r>
              <w:rPr>
                <w:rFonts w:ascii="宋体" w:eastAsia="宋体" w:hAnsi="宋体" w:cs="Times New Roman" w:hint="eastAsia"/>
                <w:color w:val="000000"/>
                <w:szCs w:val="21"/>
              </w:rPr>
              <w:t>、</w:t>
            </w:r>
            <w:r>
              <w:rPr>
                <w:rFonts w:ascii="宋体" w:eastAsia="宋体" w:hAnsi="宋体" w:cs="Times New Roman" w:hint="eastAsia"/>
                <w:color w:val="000000"/>
                <w:szCs w:val="21"/>
              </w:rPr>
              <w:t>常见的隔离类型及相应的隔离措施。</w:t>
            </w:r>
          </w:p>
          <w:p w14:paraId="0452B77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能正确进行手卫生、无菌技术基本操作、隔离技术基本操作。</w:t>
            </w:r>
          </w:p>
        </w:tc>
      </w:tr>
      <w:tr w:rsidR="003625DD" w14:paraId="142ACA14" w14:textId="77777777">
        <w:trPr>
          <w:trHeight w:val="545"/>
        </w:trPr>
        <w:tc>
          <w:tcPr>
            <w:tcW w:w="1242" w:type="dxa"/>
            <w:vAlign w:val="center"/>
          </w:tcPr>
          <w:p w14:paraId="58234B0D"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3</w:t>
            </w:r>
          </w:p>
        </w:tc>
        <w:tc>
          <w:tcPr>
            <w:tcW w:w="1843" w:type="dxa"/>
            <w:vAlign w:val="center"/>
          </w:tcPr>
          <w:p w14:paraId="5D0326FC"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出入院护理</w:t>
            </w:r>
          </w:p>
        </w:tc>
        <w:tc>
          <w:tcPr>
            <w:tcW w:w="6306" w:type="dxa"/>
            <w:vAlign w:val="center"/>
          </w:tcPr>
          <w:p w14:paraId="5CFB75A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知道病人</w:t>
            </w:r>
            <w:proofErr w:type="gramStart"/>
            <w:r>
              <w:rPr>
                <w:rFonts w:ascii="宋体" w:eastAsia="宋体" w:hAnsi="宋体" w:cs="Times New Roman" w:hint="eastAsia"/>
                <w:color w:val="000000"/>
                <w:szCs w:val="21"/>
              </w:rPr>
              <w:t>床单位</w:t>
            </w:r>
            <w:proofErr w:type="gramEnd"/>
            <w:r>
              <w:rPr>
                <w:rFonts w:ascii="宋体" w:eastAsia="宋体" w:hAnsi="宋体" w:cs="Times New Roman" w:hint="eastAsia"/>
                <w:color w:val="000000"/>
                <w:szCs w:val="21"/>
              </w:rPr>
              <w:t>所包含的固定设备</w:t>
            </w:r>
            <w:r>
              <w:rPr>
                <w:rFonts w:ascii="宋体" w:eastAsia="宋体" w:hAnsi="宋体" w:cs="Times New Roman" w:hint="eastAsia"/>
                <w:color w:val="000000"/>
                <w:szCs w:val="21"/>
              </w:rPr>
              <w:t>、</w:t>
            </w:r>
            <w:r>
              <w:rPr>
                <w:rFonts w:ascii="宋体" w:eastAsia="宋体" w:hAnsi="宋体" w:cs="Times New Roman" w:hint="eastAsia"/>
                <w:color w:val="000000"/>
                <w:szCs w:val="21"/>
              </w:rPr>
              <w:t>入院护理和出院护理的目的。</w:t>
            </w:r>
          </w:p>
          <w:p w14:paraId="35DD54E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知道临床上常用卧位的适用范围及临床意义。</w:t>
            </w:r>
          </w:p>
          <w:p w14:paraId="070F9FA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w:t>
            </w:r>
            <w:r>
              <w:rPr>
                <w:rFonts w:ascii="宋体" w:eastAsia="宋体" w:hAnsi="宋体" w:cs="Times New Roman" w:hint="eastAsia"/>
                <w:color w:val="000000"/>
                <w:szCs w:val="21"/>
              </w:rPr>
              <w:t>知道分级护理的级别、适用对象及相应的护理要点。</w:t>
            </w:r>
          </w:p>
          <w:p w14:paraId="7D6B984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w:t>
            </w:r>
            <w:r>
              <w:rPr>
                <w:rFonts w:ascii="宋体" w:eastAsia="宋体" w:hAnsi="宋体" w:cs="Times New Roman" w:hint="eastAsia"/>
                <w:color w:val="000000"/>
                <w:szCs w:val="21"/>
              </w:rPr>
              <w:t>理解分级护理的概念。</w:t>
            </w:r>
          </w:p>
          <w:p w14:paraId="23BF111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理解卧位的分类方法、变换卧位法的目的、操作中的注意事项</w:t>
            </w:r>
            <w:r>
              <w:rPr>
                <w:rFonts w:ascii="宋体" w:eastAsia="宋体" w:hAnsi="宋体" w:cs="Times New Roman" w:hint="eastAsia"/>
                <w:color w:val="000000"/>
                <w:szCs w:val="21"/>
              </w:rPr>
              <w:t>、</w:t>
            </w:r>
            <w:r>
              <w:rPr>
                <w:rFonts w:ascii="宋体" w:eastAsia="宋体" w:hAnsi="宋体" w:cs="Times New Roman" w:hint="eastAsia"/>
                <w:color w:val="000000"/>
                <w:szCs w:val="21"/>
              </w:rPr>
              <w:t>在护理工作中保证病人平衡与稳定的措施。</w:t>
            </w:r>
          </w:p>
          <w:p w14:paraId="73FEE1D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color w:val="000000"/>
                <w:szCs w:val="21"/>
              </w:rPr>
              <w:t>能正确运用铺床方法为新病人、暂时离床病人、麻醉手术后病人或长期卧床病人准备安全、整洁、舒适的床单位；能为病人安置舒适卧位；能按正确的方法协助病人变换卧位；能正确使用轮椅或平车运</w:t>
            </w:r>
            <w:r>
              <w:rPr>
                <w:rFonts w:ascii="宋体" w:eastAsia="宋体" w:hAnsi="宋体" w:cs="Times New Roman" w:hint="eastAsia"/>
                <w:color w:val="000000"/>
                <w:szCs w:val="21"/>
              </w:rPr>
              <w:t>送</w:t>
            </w:r>
            <w:r>
              <w:rPr>
                <w:rFonts w:ascii="宋体" w:eastAsia="宋体" w:hAnsi="宋体" w:cs="Times New Roman" w:hint="eastAsia"/>
                <w:color w:val="000000"/>
                <w:szCs w:val="21"/>
              </w:rPr>
              <w:t>病人；能正确运用人体力学原理。</w:t>
            </w:r>
          </w:p>
        </w:tc>
      </w:tr>
      <w:tr w:rsidR="003625DD" w14:paraId="623E1B9B" w14:textId="77777777">
        <w:trPr>
          <w:trHeight w:val="545"/>
        </w:trPr>
        <w:tc>
          <w:tcPr>
            <w:tcW w:w="1242" w:type="dxa"/>
            <w:vAlign w:val="center"/>
          </w:tcPr>
          <w:p w14:paraId="4897142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4</w:t>
            </w:r>
          </w:p>
        </w:tc>
        <w:tc>
          <w:tcPr>
            <w:tcW w:w="1843" w:type="dxa"/>
            <w:vAlign w:val="center"/>
          </w:tcPr>
          <w:p w14:paraId="66EC8FB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病人安全与护士职业防护</w:t>
            </w:r>
          </w:p>
        </w:tc>
        <w:tc>
          <w:tcPr>
            <w:tcW w:w="6306" w:type="dxa"/>
            <w:vAlign w:val="center"/>
          </w:tcPr>
          <w:p w14:paraId="1C52CCE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知道保护具、辅助器使用的目的及操作中的注意事项。</w:t>
            </w:r>
          </w:p>
          <w:p w14:paraId="2F8C91B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知道职业暴露的有害因素及对人体的影响。</w:t>
            </w:r>
          </w:p>
          <w:p w14:paraId="3EBDF4DD"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理解安全环境、保护具、职业暴露、护理职业暴露、职业防护、护理职业防护、标准预防及护理职业风险的概念。</w:t>
            </w:r>
          </w:p>
          <w:p w14:paraId="186799A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理解医院常见的不安全因素</w:t>
            </w:r>
            <w:r>
              <w:rPr>
                <w:rFonts w:ascii="宋体" w:eastAsia="宋体" w:hAnsi="宋体" w:cs="Times New Roman" w:hint="eastAsia"/>
                <w:color w:val="000000"/>
                <w:szCs w:val="21"/>
              </w:rPr>
              <w:t>、</w:t>
            </w:r>
            <w:r>
              <w:rPr>
                <w:rFonts w:ascii="宋体" w:eastAsia="宋体" w:hAnsi="宋体" w:cs="Times New Roman" w:hint="eastAsia"/>
                <w:color w:val="000000"/>
                <w:szCs w:val="21"/>
              </w:rPr>
              <w:t>血源性病原体职业暴露、锐器伤、化疗药物职业</w:t>
            </w:r>
            <w:proofErr w:type="gramStart"/>
            <w:r>
              <w:rPr>
                <w:rFonts w:ascii="宋体" w:eastAsia="宋体" w:hAnsi="宋体" w:cs="Times New Roman" w:hint="eastAsia"/>
                <w:color w:val="000000"/>
                <w:szCs w:val="21"/>
              </w:rPr>
              <w:t>暴露及汞泄漏</w:t>
            </w:r>
            <w:proofErr w:type="gramEnd"/>
            <w:r>
              <w:rPr>
                <w:rFonts w:ascii="宋体" w:eastAsia="宋体" w:hAnsi="宋体" w:cs="Times New Roman" w:hint="eastAsia"/>
                <w:color w:val="000000"/>
                <w:szCs w:val="21"/>
              </w:rPr>
              <w:t>产生的原因及预防措施。</w:t>
            </w:r>
          </w:p>
          <w:p w14:paraId="597E6D9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w:t>
            </w:r>
            <w:r>
              <w:rPr>
                <w:rFonts w:ascii="宋体" w:eastAsia="宋体" w:hAnsi="宋体" w:cs="Times New Roman" w:hint="eastAsia"/>
                <w:color w:val="000000"/>
                <w:szCs w:val="21"/>
              </w:rPr>
              <w:t>能正确选择和科学使用各种保护具及辅助器具保证病人安全；正确处理锐器伤，并采取有效的、针对性的防护措施。</w:t>
            </w:r>
          </w:p>
        </w:tc>
      </w:tr>
      <w:tr w:rsidR="003625DD" w14:paraId="35E9CC39" w14:textId="77777777">
        <w:trPr>
          <w:trHeight w:val="274"/>
        </w:trPr>
        <w:tc>
          <w:tcPr>
            <w:tcW w:w="1242" w:type="dxa"/>
            <w:vAlign w:val="center"/>
          </w:tcPr>
          <w:p w14:paraId="03B5F18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5</w:t>
            </w:r>
          </w:p>
        </w:tc>
        <w:tc>
          <w:tcPr>
            <w:tcW w:w="1843" w:type="dxa"/>
            <w:vAlign w:val="center"/>
          </w:tcPr>
          <w:p w14:paraId="75FFE1A5"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清洁护理</w:t>
            </w:r>
          </w:p>
        </w:tc>
        <w:tc>
          <w:tcPr>
            <w:tcW w:w="6306" w:type="dxa"/>
            <w:vAlign w:val="center"/>
          </w:tcPr>
          <w:p w14:paraId="74805EB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知道口腔护理、头发护理、皮肤护理及会阴部护理的评估内容、目的和操作注意事项。</w:t>
            </w:r>
          </w:p>
          <w:p w14:paraId="7BBE825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知道常用的口腔护理溶液及其作用。</w:t>
            </w:r>
          </w:p>
          <w:p w14:paraId="569B718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知道压</w:t>
            </w:r>
            <w:proofErr w:type="gramStart"/>
            <w:r>
              <w:rPr>
                <w:rFonts w:ascii="宋体" w:eastAsia="宋体" w:hAnsi="宋体" w:cs="Times New Roman" w:hint="eastAsia"/>
                <w:color w:val="000000"/>
                <w:szCs w:val="21"/>
              </w:rPr>
              <w:t>疮发生</w:t>
            </w:r>
            <w:proofErr w:type="gramEnd"/>
            <w:r>
              <w:rPr>
                <w:rFonts w:ascii="宋体" w:eastAsia="宋体" w:hAnsi="宋体" w:cs="Times New Roman" w:hint="eastAsia"/>
                <w:color w:val="000000"/>
                <w:szCs w:val="21"/>
              </w:rPr>
              <w:t>的原因、高危人群及易患部位。</w:t>
            </w:r>
          </w:p>
          <w:p w14:paraId="245E9F0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理解压疮、剪切力的概念</w:t>
            </w:r>
            <w:r>
              <w:rPr>
                <w:rFonts w:ascii="宋体" w:eastAsia="宋体" w:hAnsi="宋体" w:cs="Times New Roman" w:hint="eastAsia"/>
                <w:color w:val="000000"/>
                <w:szCs w:val="21"/>
              </w:rPr>
              <w:t>、</w:t>
            </w:r>
            <w:r>
              <w:rPr>
                <w:rFonts w:ascii="宋体" w:eastAsia="宋体" w:hAnsi="宋体" w:cs="Times New Roman" w:hint="eastAsia"/>
                <w:color w:val="000000"/>
                <w:szCs w:val="21"/>
              </w:rPr>
              <w:t>压</w:t>
            </w:r>
            <w:proofErr w:type="gramStart"/>
            <w:r>
              <w:rPr>
                <w:rFonts w:ascii="宋体" w:eastAsia="宋体" w:hAnsi="宋体" w:cs="Times New Roman" w:hint="eastAsia"/>
                <w:color w:val="000000"/>
                <w:szCs w:val="21"/>
              </w:rPr>
              <w:t>疮发生</w:t>
            </w:r>
            <w:proofErr w:type="gramEnd"/>
            <w:r>
              <w:rPr>
                <w:rFonts w:ascii="宋体" w:eastAsia="宋体" w:hAnsi="宋体" w:cs="Times New Roman" w:hint="eastAsia"/>
                <w:color w:val="000000"/>
                <w:szCs w:val="21"/>
              </w:rPr>
              <w:t>的高危人群及预防措施、压疮各期的临床表现、预防压疮的护理措施。</w:t>
            </w:r>
          </w:p>
          <w:p w14:paraId="5D08CE9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能正确进行口腔护理、头发护理、皮肤护理、</w:t>
            </w:r>
            <w:r>
              <w:rPr>
                <w:rFonts w:ascii="宋体" w:eastAsia="宋体" w:hAnsi="宋体" w:cs="Times New Roman" w:hint="eastAsia"/>
                <w:color w:val="000000"/>
                <w:szCs w:val="21"/>
              </w:rPr>
              <w:t>会阴部</w:t>
            </w:r>
            <w:proofErr w:type="gramStart"/>
            <w:r>
              <w:rPr>
                <w:rFonts w:ascii="宋体" w:eastAsia="宋体" w:hAnsi="宋体" w:cs="Times New Roman" w:hint="eastAsia"/>
                <w:color w:val="000000"/>
                <w:szCs w:val="21"/>
              </w:rPr>
              <w:t>护理及晨晚间</w:t>
            </w:r>
            <w:proofErr w:type="gramEnd"/>
            <w:r>
              <w:rPr>
                <w:rFonts w:ascii="宋体" w:eastAsia="宋体" w:hAnsi="宋体" w:cs="Times New Roman" w:hint="eastAsia"/>
                <w:color w:val="000000"/>
                <w:szCs w:val="21"/>
              </w:rPr>
              <w:t>护理；正确指导病人采取有效措施预防压疮的发生。</w:t>
            </w:r>
          </w:p>
        </w:tc>
      </w:tr>
      <w:tr w:rsidR="003625DD" w14:paraId="0E70788D" w14:textId="77777777">
        <w:trPr>
          <w:trHeight w:val="545"/>
        </w:trPr>
        <w:tc>
          <w:tcPr>
            <w:tcW w:w="1242" w:type="dxa"/>
            <w:vAlign w:val="center"/>
          </w:tcPr>
          <w:p w14:paraId="654C72F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6</w:t>
            </w:r>
          </w:p>
        </w:tc>
        <w:tc>
          <w:tcPr>
            <w:tcW w:w="1843" w:type="dxa"/>
            <w:vAlign w:val="center"/>
          </w:tcPr>
          <w:p w14:paraId="40E403F1"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休息与活动</w:t>
            </w:r>
          </w:p>
        </w:tc>
        <w:tc>
          <w:tcPr>
            <w:tcW w:w="6306" w:type="dxa"/>
          </w:tcPr>
          <w:p w14:paraId="0677F89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知道睡眠各时相的特点、失眠的原因及诊断标准</w:t>
            </w:r>
            <w:r>
              <w:rPr>
                <w:rFonts w:ascii="宋体" w:eastAsia="宋体" w:hAnsi="宋体" w:cs="Times New Roman" w:hint="eastAsia"/>
                <w:color w:val="000000"/>
                <w:szCs w:val="21"/>
              </w:rPr>
              <w:t>、</w:t>
            </w:r>
            <w:r>
              <w:rPr>
                <w:rFonts w:ascii="宋体" w:eastAsia="宋体" w:hAnsi="宋体" w:cs="Times New Roman" w:hint="eastAsia"/>
                <w:color w:val="000000"/>
                <w:szCs w:val="21"/>
              </w:rPr>
              <w:t>关节活动练习的目的。</w:t>
            </w:r>
          </w:p>
          <w:p w14:paraId="438869A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理解住院病人睡眠的特点</w:t>
            </w:r>
            <w:r>
              <w:rPr>
                <w:rFonts w:ascii="宋体" w:eastAsia="宋体" w:hAnsi="宋体" w:cs="Times New Roman" w:hint="eastAsia"/>
                <w:color w:val="000000"/>
                <w:szCs w:val="21"/>
              </w:rPr>
              <w:t>、</w:t>
            </w:r>
            <w:r>
              <w:rPr>
                <w:rFonts w:ascii="宋体" w:eastAsia="宋体" w:hAnsi="宋体" w:cs="Times New Roman" w:hint="eastAsia"/>
                <w:color w:val="000000"/>
                <w:szCs w:val="21"/>
              </w:rPr>
              <w:t>活动受限的原因及对机体的影响、病人的肌力和机体活动能力的级别。</w:t>
            </w:r>
          </w:p>
          <w:p w14:paraId="63494F3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w:t>
            </w:r>
            <w:r>
              <w:rPr>
                <w:rFonts w:ascii="宋体" w:eastAsia="宋体" w:hAnsi="宋体" w:cs="Times New Roman" w:hint="eastAsia"/>
                <w:color w:val="000000"/>
                <w:szCs w:val="21"/>
              </w:rPr>
              <w:t>能采取有效的护理措施促进病人的睡眠、协助病人活动。</w:t>
            </w:r>
          </w:p>
        </w:tc>
      </w:tr>
      <w:tr w:rsidR="003625DD" w14:paraId="09BB4D2A" w14:textId="77777777">
        <w:trPr>
          <w:trHeight w:val="545"/>
        </w:trPr>
        <w:tc>
          <w:tcPr>
            <w:tcW w:w="1242" w:type="dxa"/>
            <w:vAlign w:val="center"/>
          </w:tcPr>
          <w:p w14:paraId="0BCD79F7"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7</w:t>
            </w:r>
          </w:p>
        </w:tc>
        <w:tc>
          <w:tcPr>
            <w:tcW w:w="1843" w:type="dxa"/>
            <w:vAlign w:val="center"/>
          </w:tcPr>
          <w:p w14:paraId="64CCA9C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文件管理与书写</w:t>
            </w:r>
          </w:p>
        </w:tc>
        <w:tc>
          <w:tcPr>
            <w:tcW w:w="6306" w:type="dxa"/>
          </w:tcPr>
          <w:p w14:paraId="1A9B431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知道医疗与护理文件的记录原则及管理要求、医嘱处理的注意事项、病区交班报告书写顺序及要求。</w:t>
            </w:r>
          </w:p>
          <w:p w14:paraId="5168A6F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理解医疗与护理文件记录的重要性、医嘱的种类。</w:t>
            </w:r>
          </w:p>
          <w:p w14:paraId="36DAFA2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能正确绘制体温单、处理各种医嘱、书写出入</w:t>
            </w:r>
            <w:proofErr w:type="gramStart"/>
            <w:r>
              <w:rPr>
                <w:rFonts w:ascii="宋体" w:eastAsia="宋体" w:hAnsi="宋体" w:cs="Times New Roman" w:hint="eastAsia"/>
                <w:color w:val="000000"/>
                <w:szCs w:val="21"/>
              </w:rPr>
              <w:t>液记录</w:t>
            </w:r>
            <w:proofErr w:type="gramEnd"/>
            <w:r>
              <w:rPr>
                <w:rFonts w:ascii="宋体" w:eastAsia="宋体" w:hAnsi="宋体" w:cs="Times New Roman" w:hint="eastAsia"/>
                <w:color w:val="000000"/>
                <w:szCs w:val="21"/>
              </w:rPr>
              <w:t>单、特殊护理记录单、病区交班报告。</w:t>
            </w:r>
          </w:p>
        </w:tc>
      </w:tr>
      <w:tr w:rsidR="003625DD" w14:paraId="3CDD033A" w14:textId="77777777">
        <w:trPr>
          <w:trHeight w:val="545"/>
        </w:trPr>
        <w:tc>
          <w:tcPr>
            <w:tcW w:w="1242" w:type="dxa"/>
            <w:vAlign w:val="center"/>
          </w:tcPr>
          <w:p w14:paraId="718BF110"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8</w:t>
            </w:r>
          </w:p>
        </w:tc>
        <w:tc>
          <w:tcPr>
            <w:tcW w:w="1843" w:type="dxa"/>
            <w:vAlign w:val="center"/>
          </w:tcPr>
          <w:p w14:paraId="20ABE47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生命体征评估与护理</w:t>
            </w:r>
          </w:p>
        </w:tc>
        <w:tc>
          <w:tcPr>
            <w:tcW w:w="6306" w:type="dxa"/>
          </w:tcPr>
          <w:p w14:paraId="7D690B4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知道体温、脉搏、呼吸、血压的正常值</w:t>
            </w:r>
            <w:r>
              <w:rPr>
                <w:rFonts w:ascii="宋体" w:eastAsia="宋体" w:hAnsi="宋体" w:cs="Times New Roman" w:hint="eastAsia"/>
                <w:color w:val="000000"/>
                <w:szCs w:val="21"/>
              </w:rPr>
              <w:t>及</w:t>
            </w:r>
            <w:r>
              <w:rPr>
                <w:rFonts w:ascii="宋体" w:eastAsia="宋体" w:hAnsi="宋体" w:cs="Times New Roman" w:hint="eastAsia"/>
                <w:color w:val="000000"/>
                <w:szCs w:val="21"/>
              </w:rPr>
              <w:t>生理变化。</w:t>
            </w:r>
          </w:p>
          <w:p w14:paraId="41E2F019"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体温过高、体温过低、稽留热、弛张热、间歇热、不规则热、心动过速、心动过缓、间歇脉、脉搏短绌、洪脉、细脉、交替脉、水冲脉、奇脉、高血压、低血压、呼吸增快、呼吸减慢、深度呼吸、潮式呼吸、间断呼吸、胸叩击、体位引流、吸痰法及氧气疗法的概念。</w:t>
            </w:r>
          </w:p>
          <w:p w14:paraId="3A21BD3C"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理解异常体温、脉搏、呼吸、血压</w:t>
            </w:r>
            <w:r>
              <w:rPr>
                <w:rFonts w:ascii="宋体" w:eastAsia="宋体" w:hAnsi="宋体" w:cs="Times New Roman" w:hint="eastAsia"/>
                <w:color w:val="000000"/>
                <w:szCs w:val="21"/>
              </w:rPr>
              <w:t>及</w:t>
            </w:r>
            <w:r>
              <w:rPr>
                <w:rFonts w:ascii="宋体" w:eastAsia="宋体" w:hAnsi="宋体" w:cs="Times New Roman" w:hint="eastAsia"/>
                <w:color w:val="000000"/>
                <w:szCs w:val="21"/>
              </w:rPr>
              <w:t>吸痰方法。</w:t>
            </w:r>
          </w:p>
          <w:p w14:paraId="3B656B9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能</w:t>
            </w:r>
            <w:r>
              <w:rPr>
                <w:rFonts w:ascii="宋体" w:eastAsia="宋体" w:hAnsi="宋体" w:cs="Times New Roman" w:hint="eastAsia"/>
                <w:color w:val="000000"/>
                <w:szCs w:val="21"/>
              </w:rPr>
              <w:t>正确测量和记录体温、脉搏、呼吸、血压；对缺氧病人实施正确的氧气疗法。</w:t>
            </w:r>
          </w:p>
        </w:tc>
      </w:tr>
      <w:tr w:rsidR="003625DD" w14:paraId="14413863" w14:textId="77777777">
        <w:trPr>
          <w:trHeight w:val="545"/>
        </w:trPr>
        <w:tc>
          <w:tcPr>
            <w:tcW w:w="1242" w:type="dxa"/>
            <w:vAlign w:val="center"/>
          </w:tcPr>
          <w:p w14:paraId="05D1A895"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9</w:t>
            </w:r>
          </w:p>
        </w:tc>
        <w:tc>
          <w:tcPr>
            <w:tcW w:w="1843" w:type="dxa"/>
            <w:vAlign w:val="center"/>
          </w:tcPr>
          <w:p w14:paraId="573D0DCE"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冷热疗法</w:t>
            </w:r>
          </w:p>
        </w:tc>
        <w:tc>
          <w:tcPr>
            <w:tcW w:w="6306" w:type="dxa"/>
          </w:tcPr>
          <w:p w14:paraId="5C47821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知道冷、热疗法的生理效应和继发效应、影响冷、热疗法效果的因素。</w:t>
            </w:r>
          </w:p>
          <w:p w14:paraId="3E564F33"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理解冷、热疗法、继发效应的概念、冷疗法和热疗法的禁忌、各种冷疗法、热疗法的目的和方法。</w:t>
            </w:r>
          </w:p>
          <w:p w14:paraId="10291CC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能运用所学知识正确选择并实施冷、热疗法。</w:t>
            </w:r>
          </w:p>
        </w:tc>
      </w:tr>
      <w:tr w:rsidR="003625DD" w14:paraId="1944E91E" w14:textId="77777777">
        <w:trPr>
          <w:trHeight w:val="545"/>
        </w:trPr>
        <w:tc>
          <w:tcPr>
            <w:tcW w:w="1242" w:type="dxa"/>
            <w:vAlign w:val="center"/>
          </w:tcPr>
          <w:p w14:paraId="251CF5C0"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10</w:t>
            </w:r>
          </w:p>
        </w:tc>
        <w:tc>
          <w:tcPr>
            <w:tcW w:w="1843" w:type="dxa"/>
            <w:vAlign w:val="center"/>
          </w:tcPr>
          <w:p w14:paraId="630C7AAC"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饮食护理</w:t>
            </w:r>
          </w:p>
        </w:tc>
        <w:tc>
          <w:tcPr>
            <w:tcW w:w="6306" w:type="dxa"/>
          </w:tcPr>
          <w:p w14:paraId="70CB13F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知道医院饮食的类别及各类饮食的种类、原则与适用范围。</w:t>
            </w:r>
          </w:p>
          <w:p w14:paraId="39C9D1C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知道鼻饲术的适应证、禁忌证及注意事项。</w:t>
            </w:r>
          </w:p>
          <w:p w14:paraId="0E80D00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理解治疗饮食、试验饮食、鼻饲法、要素饮食、胃肠外营养的概念。</w:t>
            </w:r>
          </w:p>
          <w:p w14:paraId="7EB95A2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理解要素饮食、胃肠外营养的并发症及注意事项。</w:t>
            </w:r>
          </w:p>
          <w:p w14:paraId="27C3B00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能规范地进行鼻饲法管喂饮食操作、能正确运用三种方法检查胃管是否在胃内。</w:t>
            </w:r>
          </w:p>
        </w:tc>
      </w:tr>
      <w:tr w:rsidR="003625DD" w14:paraId="5B0CE038" w14:textId="77777777">
        <w:trPr>
          <w:trHeight w:val="545"/>
        </w:trPr>
        <w:tc>
          <w:tcPr>
            <w:tcW w:w="1242" w:type="dxa"/>
            <w:vAlign w:val="center"/>
          </w:tcPr>
          <w:p w14:paraId="03AFDEF2"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11</w:t>
            </w:r>
          </w:p>
        </w:tc>
        <w:tc>
          <w:tcPr>
            <w:tcW w:w="1843" w:type="dxa"/>
            <w:vAlign w:val="center"/>
          </w:tcPr>
          <w:p w14:paraId="0D08A27D"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排泄护理</w:t>
            </w:r>
          </w:p>
        </w:tc>
        <w:tc>
          <w:tcPr>
            <w:tcW w:w="6306" w:type="dxa"/>
          </w:tcPr>
          <w:p w14:paraId="1F4E4E3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知道与排便、排尿有关的解剖和生理、尿液、粪便观察的主要内容。</w:t>
            </w:r>
          </w:p>
          <w:p w14:paraId="1A1B14F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理解多尿、少尿、无尿、膀胱刺激征、尿潴留、尿失禁、导尿术、便秘、腹泻、排便失禁、灌肠法及肛管排气的概念。</w:t>
            </w:r>
          </w:p>
          <w:p w14:paraId="1BFFBC5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理解影响排便、排尿的因素、导致排尿、排便异常的原因、留置导尿术病人的护理要点。</w:t>
            </w:r>
          </w:p>
          <w:p w14:paraId="3CE93E6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能规范完成导尿术、留置导尿术、大量不保留灌肠和保留灌肠的操作技术；能选择恰当的护理措施对排尿异常及排便异常病人进行护理。</w:t>
            </w:r>
          </w:p>
        </w:tc>
      </w:tr>
      <w:tr w:rsidR="003625DD" w14:paraId="7A215FB1" w14:textId="77777777">
        <w:trPr>
          <w:trHeight w:val="545"/>
        </w:trPr>
        <w:tc>
          <w:tcPr>
            <w:tcW w:w="1242" w:type="dxa"/>
            <w:vAlign w:val="center"/>
          </w:tcPr>
          <w:p w14:paraId="1802B18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12</w:t>
            </w:r>
          </w:p>
        </w:tc>
        <w:tc>
          <w:tcPr>
            <w:tcW w:w="1843" w:type="dxa"/>
            <w:vAlign w:val="center"/>
          </w:tcPr>
          <w:p w14:paraId="3A60E161"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给药护理</w:t>
            </w:r>
          </w:p>
        </w:tc>
        <w:tc>
          <w:tcPr>
            <w:tcW w:w="6306" w:type="dxa"/>
          </w:tcPr>
          <w:p w14:paraId="31B32A92"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知道常用药物的种类和常用给药医嘱的外文缩写词、给药途径和给药原则。</w:t>
            </w:r>
          </w:p>
          <w:p w14:paraId="4174DED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lastRenderedPageBreak/>
              <w:t>2.</w:t>
            </w:r>
            <w:r>
              <w:rPr>
                <w:rFonts w:ascii="宋体" w:eastAsia="宋体" w:hAnsi="宋体" w:cs="Times New Roman" w:hint="eastAsia"/>
                <w:color w:val="000000"/>
                <w:szCs w:val="21"/>
              </w:rPr>
              <w:t>知道注射原则、各种注射方法的目的、常用部位及注意事项。</w:t>
            </w:r>
          </w:p>
          <w:p w14:paraId="3B95694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知道常用过敏试验液的配制浓度、注入剂量和试验结果判断、青霉素过敏反应的原因和预防措施、破伤风抗毒素脱敏注射的原理和方法。</w:t>
            </w:r>
          </w:p>
          <w:p w14:paraId="6DF4586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理解口服给药法、注射法</w:t>
            </w:r>
            <w:r>
              <w:rPr>
                <w:rFonts w:ascii="宋体" w:eastAsia="宋体" w:hAnsi="宋体" w:cs="Times New Roman" w:hint="eastAsia"/>
                <w:color w:val="000000"/>
                <w:szCs w:val="21"/>
              </w:rPr>
              <w:t>、皮内注射法、皮下注射法、肌内注射法、静脉注射、雾化吸入法、超声雾化吸入法、氧气雾化吸入法、过敏反应及破伤风抗毒素脱敏注射法的概念。</w:t>
            </w:r>
          </w:p>
          <w:p w14:paraId="51EF52A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理解药物保管的要求、不同性能药物口服时的注意事项、静脉注射失败的原因、青霉素过敏性休克的临床表现。</w:t>
            </w:r>
          </w:p>
          <w:p w14:paraId="6543EE7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6.</w:t>
            </w:r>
            <w:r>
              <w:rPr>
                <w:rFonts w:ascii="宋体" w:eastAsia="宋体" w:hAnsi="宋体" w:cs="Times New Roman" w:hint="eastAsia"/>
                <w:color w:val="000000"/>
                <w:szCs w:val="21"/>
              </w:rPr>
              <w:t>能以正确的方法完成各种注射法、超声雾化吸入法、氧气雾化吸入法的操作。</w:t>
            </w:r>
          </w:p>
        </w:tc>
      </w:tr>
      <w:tr w:rsidR="003625DD" w14:paraId="4C0380E3" w14:textId="77777777">
        <w:trPr>
          <w:trHeight w:val="545"/>
        </w:trPr>
        <w:tc>
          <w:tcPr>
            <w:tcW w:w="1242" w:type="dxa"/>
            <w:vAlign w:val="center"/>
          </w:tcPr>
          <w:p w14:paraId="6D60F62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lastRenderedPageBreak/>
              <w:t>13</w:t>
            </w:r>
          </w:p>
        </w:tc>
        <w:tc>
          <w:tcPr>
            <w:tcW w:w="1843" w:type="dxa"/>
            <w:vAlign w:val="center"/>
          </w:tcPr>
          <w:p w14:paraId="3BD0CCFA"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输液与输血</w:t>
            </w:r>
          </w:p>
        </w:tc>
        <w:tc>
          <w:tcPr>
            <w:tcW w:w="6306" w:type="dxa"/>
          </w:tcPr>
          <w:p w14:paraId="5454685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知道静脉输液的目的、静脉补液应遵循的原则</w:t>
            </w:r>
            <w:r>
              <w:rPr>
                <w:rFonts w:ascii="宋体" w:eastAsia="宋体" w:hAnsi="宋体" w:cs="Times New Roman" w:hint="eastAsia"/>
                <w:color w:val="000000"/>
                <w:szCs w:val="21"/>
              </w:rPr>
              <w:t>、</w:t>
            </w:r>
            <w:r>
              <w:rPr>
                <w:rFonts w:ascii="宋体" w:eastAsia="宋体" w:hAnsi="宋体" w:cs="Times New Roman" w:hint="eastAsia"/>
                <w:color w:val="000000"/>
                <w:szCs w:val="21"/>
              </w:rPr>
              <w:t>常见输液障碍的种类。</w:t>
            </w:r>
          </w:p>
          <w:p w14:paraId="4532A891"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知道静脉输血的目的和原则、自体输血的优点、成分输血的特点。</w:t>
            </w:r>
          </w:p>
          <w:p w14:paraId="4379A4E8"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理解静脉输液、输液微粒、输液微粒污染、密闭式输液法、开放式输液法、静脉输血、间接输血法、直接输血法、血型、</w:t>
            </w:r>
            <w:r>
              <w:rPr>
                <w:rFonts w:ascii="宋体" w:eastAsia="宋体" w:hAnsi="宋体" w:cs="Times New Roman" w:hint="eastAsia"/>
                <w:color w:val="000000"/>
                <w:szCs w:val="21"/>
              </w:rPr>
              <w:t>ABO</w:t>
            </w:r>
            <w:r>
              <w:rPr>
                <w:rFonts w:ascii="宋体" w:eastAsia="宋体" w:hAnsi="宋体" w:cs="Times New Roman" w:hint="eastAsia"/>
                <w:color w:val="000000"/>
                <w:szCs w:val="21"/>
              </w:rPr>
              <w:t>血型鉴定、直接交叉配</w:t>
            </w:r>
            <w:proofErr w:type="gramStart"/>
            <w:r>
              <w:rPr>
                <w:rFonts w:ascii="宋体" w:eastAsia="宋体" w:hAnsi="宋体" w:cs="Times New Roman" w:hint="eastAsia"/>
                <w:color w:val="000000"/>
                <w:szCs w:val="21"/>
              </w:rPr>
              <w:t>血试验</w:t>
            </w:r>
            <w:proofErr w:type="gramEnd"/>
            <w:r>
              <w:rPr>
                <w:rFonts w:ascii="宋体" w:eastAsia="宋体" w:hAnsi="宋体" w:cs="Times New Roman" w:hint="eastAsia"/>
                <w:color w:val="000000"/>
                <w:szCs w:val="21"/>
              </w:rPr>
              <w:t>及间接交叉配</w:t>
            </w:r>
            <w:proofErr w:type="gramStart"/>
            <w:r>
              <w:rPr>
                <w:rFonts w:ascii="宋体" w:eastAsia="宋体" w:hAnsi="宋体" w:cs="Times New Roman" w:hint="eastAsia"/>
                <w:color w:val="000000"/>
                <w:szCs w:val="21"/>
              </w:rPr>
              <w:t>血试验</w:t>
            </w:r>
            <w:proofErr w:type="gramEnd"/>
            <w:r>
              <w:rPr>
                <w:rFonts w:ascii="宋体" w:eastAsia="宋体" w:hAnsi="宋体" w:cs="Times New Roman" w:hint="eastAsia"/>
                <w:color w:val="000000"/>
                <w:szCs w:val="21"/>
              </w:rPr>
              <w:t>的概念。</w:t>
            </w:r>
          </w:p>
          <w:p w14:paraId="2CB83724"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hint="eastAsia"/>
                <w:color w:val="000000"/>
                <w:szCs w:val="21"/>
              </w:rPr>
              <w:t>理解静脉输液的原理、常用溶液的种类及作用、周围静脉输液法、静脉输血法及成分输血的注意事项、输液过程中</w:t>
            </w:r>
            <w:proofErr w:type="gramStart"/>
            <w:r>
              <w:rPr>
                <w:rFonts w:ascii="宋体" w:eastAsia="宋体" w:hAnsi="宋体" w:cs="Times New Roman" w:hint="eastAsia"/>
                <w:color w:val="000000"/>
                <w:szCs w:val="21"/>
              </w:rPr>
              <w:t>溶液不滴的</w:t>
            </w:r>
            <w:proofErr w:type="gramEnd"/>
            <w:r>
              <w:rPr>
                <w:rFonts w:ascii="宋体" w:eastAsia="宋体" w:hAnsi="宋体" w:cs="Times New Roman" w:hint="eastAsia"/>
                <w:color w:val="000000"/>
                <w:szCs w:val="21"/>
              </w:rPr>
              <w:t>原因、常见输液反应及常见输血反应的原因、各种血液制品的种类及作用。</w:t>
            </w:r>
          </w:p>
          <w:p w14:paraId="32283845"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能正确计算静脉输液的速度和时间；能用正确的方法排除输液过程中出现的各种障碍。</w:t>
            </w:r>
          </w:p>
        </w:tc>
      </w:tr>
      <w:tr w:rsidR="003625DD" w14:paraId="06439661" w14:textId="77777777">
        <w:trPr>
          <w:trHeight w:val="545"/>
        </w:trPr>
        <w:tc>
          <w:tcPr>
            <w:tcW w:w="1242" w:type="dxa"/>
            <w:vAlign w:val="center"/>
          </w:tcPr>
          <w:p w14:paraId="3D746BCB"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14</w:t>
            </w:r>
          </w:p>
        </w:tc>
        <w:tc>
          <w:tcPr>
            <w:tcW w:w="1843" w:type="dxa"/>
            <w:vAlign w:val="center"/>
          </w:tcPr>
          <w:p w14:paraId="365810BB"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标本采</w:t>
            </w:r>
            <w:r>
              <w:rPr>
                <w:rFonts w:ascii="微软雅黑" w:eastAsia="微软雅黑" w:hAnsi="微软雅黑" w:cs="微软雅黑" w:hint="eastAsia"/>
                <w:bCs/>
                <w:kern w:val="0"/>
                <w:szCs w:val="21"/>
                <w:shd w:val="clear" w:color="auto" w:fill="FFFFFF"/>
              </w:rPr>
              <w:t>集</w:t>
            </w:r>
          </w:p>
        </w:tc>
        <w:tc>
          <w:tcPr>
            <w:tcW w:w="6306" w:type="dxa"/>
          </w:tcPr>
          <w:p w14:paraId="6B86A26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知道标本采集的基本原则、血液标本、尿液标本、粪便标本、痰液标本及咽拭子标本采集的目的及注意事项。</w:t>
            </w:r>
          </w:p>
          <w:p w14:paraId="271267A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知道留取</w:t>
            </w:r>
            <w:r>
              <w:rPr>
                <w:rFonts w:ascii="宋体" w:eastAsia="宋体" w:hAnsi="宋体" w:cs="Times New Roman" w:hint="eastAsia"/>
                <w:color w:val="000000"/>
                <w:szCs w:val="21"/>
              </w:rPr>
              <w:t>12</w:t>
            </w:r>
            <w:r>
              <w:rPr>
                <w:rFonts w:ascii="宋体" w:eastAsia="宋体" w:hAnsi="宋体" w:cs="Times New Roman" w:hint="eastAsia"/>
                <w:color w:val="000000"/>
                <w:szCs w:val="21"/>
              </w:rPr>
              <w:t>小时或</w:t>
            </w:r>
            <w:r>
              <w:rPr>
                <w:rFonts w:ascii="宋体" w:eastAsia="宋体" w:hAnsi="宋体" w:cs="Times New Roman" w:hint="eastAsia"/>
                <w:color w:val="000000"/>
                <w:szCs w:val="21"/>
              </w:rPr>
              <w:t>24</w:t>
            </w:r>
            <w:r>
              <w:rPr>
                <w:rFonts w:ascii="宋体" w:eastAsia="宋体" w:hAnsi="宋体" w:cs="Times New Roman" w:hint="eastAsia"/>
                <w:color w:val="000000"/>
                <w:szCs w:val="21"/>
              </w:rPr>
              <w:t>小时尿标本常用防腐剂的种类、作用与用法。</w:t>
            </w:r>
          </w:p>
          <w:p w14:paraId="081E1CCD"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理解不同类型的静脉血标本采集的目的、采血量、方法及标本容器选择的不同点。</w:t>
            </w:r>
          </w:p>
        </w:tc>
      </w:tr>
      <w:tr w:rsidR="003625DD" w14:paraId="306D8BBC" w14:textId="77777777">
        <w:trPr>
          <w:trHeight w:val="545"/>
        </w:trPr>
        <w:tc>
          <w:tcPr>
            <w:tcW w:w="1242" w:type="dxa"/>
            <w:vAlign w:val="center"/>
          </w:tcPr>
          <w:p w14:paraId="69ECB9AA"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15</w:t>
            </w:r>
          </w:p>
        </w:tc>
        <w:tc>
          <w:tcPr>
            <w:tcW w:w="1843" w:type="dxa"/>
            <w:vAlign w:val="center"/>
          </w:tcPr>
          <w:p w14:paraId="399B91F7"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病情观察及危重病人管理</w:t>
            </w:r>
          </w:p>
        </w:tc>
        <w:tc>
          <w:tcPr>
            <w:tcW w:w="6306" w:type="dxa"/>
          </w:tcPr>
          <w:p w14:paraId="203B771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知道病情观察的内容及方法、洗胃的目的、常用洗胃溶液、简易呼吸器的操作要点。</w:t>
            </w:r>
          </w:p>
          <w:p w14:paraId="24547656"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理解意识状态、意识障碍、轻度昏迷、深度昏迷、洗胃的概念、意识障碍的种类、洗胃的注意事项。</w:t>
            </w:r>
          </w:p>
          <w:p w14:paraId="574C97EF"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能按照正确的原则和方法完成洗胃法、简易人工呼吸器的操作。</w:t>
            </w:r>
          </w:p>
        </w:tc>
      </w:tr>
      <w:tr w:rsidR="003625DD" w14:paraId="449AA2C4" w14:textId="77777777">
        <w:trPr>
          <w:trHeight w:val="545"/>
        </w:trPr>
        <w:tc>
          <w:tcPr>
            <w:tcW w:w="1242" w:type="dxa"/>
            <w:vAlign w:val="center"/>
          </w:tcPr>
          <w:p w14:paraId="759671F4" w14:textId="77777777" w:rsidR="003625DD" w:rsidRDefault="002618DD">
            <w:pPr>
              <w:pStyle w:val="a7"/>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Pr>
                <w:rFonts w:ascii="微软雅黑" w:eastAsia="微软雅黑" w:hAnsi="微软雅黑" w:cs="微软雅黑" w:hint="eastAsia"/>
                <w:bCs/>
                <w:sz w:val="21"/>
                <w:szCs w:val="21"/>
                <w:shd w:val="clear" w:color="auto" w:fill="FFFFFF"/>
              </w:rPr>
              <w:t>16</w:t>
            </w:r>
          </w:p>
        </w:tc>
        <w:tc>
          <w:tcPr>
            <w:tcW w:w="1843" w:type="dxa"/>
            <w:vAlign w:val="center"/>
          </w:tcPr>
          <w:p w14:paraId="279E827F" w14:textId="77777777" w:rsidR="003625DD" w:rsidRDefault="002618DD">
            <w:pPr>
              <w:snapToGrid w:val="0"/>
              <w:spacing w:line="288" w:lineRule="auto"/>
              <w:jc w:val="center"/>
              <w:rPr>
                <w:rFonts w:ascii="微软雅黑" w:eastAsia="微软雅黑" w:hAnsi="微软雅黑" w:cs="微软雅黑"/>
                <w:bCs/>
                <w:kern w:val="0"/>
                <w:szCs w:val="21"/>
                <w:shd w:val="clear" w:color="auto" w:fill="FFFFFF"/>
              </w:rPr>
            </w:pPr>
            <w:r>
              <w:rPr>
                <w:rFonts w:ascii="微软雅黑" w:eastAsia="微软雅黑" w:hAnsi="微软雅黑" w:cs="微软雅黑" w:hint="eastAsia"/>
                <w:bCs/>
                <w:kern w:val="0"/>
                <w:szCs w:val="21"/>
                <w:shd w:val="clear" w:color="auto" w:fill="FFFFFF"/>
              </w:rPr>
              <w:t>临终护理</w:t>
            </w:r>
          </w:p>
        </w:tc>
        <w:tc>
          <w:tcPr>
            <w:tcW w:w="6306" w:type="dxa"/>
          </w:tcPr>
          <w:p w14:paraId="07010880"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知道脑死亡的诊断标准、临终病人各阶段的生理评估</w:t>
            </w:r>
            <w:proofErr w:type="gramStart"/>
            <w:r>
              <w:rPr>
                <w:rFonts w:ascii="宋体" w:eastAsia="宋体" w:hAnsi="宋体" w:cs="Times New Roman" w:hint="eastAsia"/>
                <w:color w:val="000000"/>
                <w:szCs w:val="21"/>
              </w:rPr>
              <w:t>內</w:t>
            </w:r>
            <w:proofErr w:type="gramEnd"/>
            <w:r>
              <w:rPr>
                <w:rFonts w:ascii="宋体" w:eastAsia="宋体" w:hAnsi="宋体" w:cs="Times New Roman" w:hint="eastAsia"/>
                <w:color w:val="000000"/>
                <w:szCs w:val="21"/>
              </w:rPr>
              <w:t>容、濒死病人的临床表现及死亡诊断依据。</w:t>
            </w:r>
          </w:p>
          <w:p w14:paraId="4DAFB91E"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理解临终关怀、死亡教育、濒死、脑死亡的概念、临终关怀的理念、死亡过程各期的表现和特点、临终病人的护理原则、临终病人的各个心理反应期。</w:t>
            </w:r>
          </w:p>
          <w:p w14:paraId="695D8A97" w14:textId="77777777" w:rsidR="003625DD" w:rsidRDefault="002618DD">
            <w:pPr>
              <w:snapToGrid w:val="0"/>
              <w:spacing w:line="288" w:lineRule="auto"/>
              <w:jc w:val="left"/>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能为临终病人及家属提供身心支持；能按正确的操作规程对逝者进行尸体料理。</w:t>
            </w:r>
          </w:p>
        </w:tc>
      </w:tr>
    </w:tbl>
    <w:p w14:paraId="7B62FFDB"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1FFE7FC7" w14:textId="77777777" w:rsidR="003625DD" w:rsidRDefault="003625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0178BBA8" w14:textId="77777777" w:rsidR="003625DD" w:rsidRDefault="002618DD">
      <w:pPr>
        <w:pStyle w:val="a7"/>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Pr>
          <w:rFonts w:ascii="微软雅黑" w:eastAsia="微软雅黑" w:hAnsi="微软雅黑" w:cs="微软雅黑" w:hint="eastAsia"/>
          <w:b/>
          <w:bCs/>
          <w:sz w:val="28"/>
          <w:szCs w:val="28"/>
          <w:shd w:val="clear" w:color="auto" w:fill="FFFFFF"/>
        </w:rPr>
        <w:t>五、参考教材</w:t>
      </w:r>
    </w:p>
    <w:p w14:paraId="0FC3BEA7" w14:textId="77777777" w:rsidR="003625DD" w:rsidRDefault="003625DD">
      <w:pPr>
        <w:pStyle w:val="a7"/>
        <w:widowControl/>
        <w:shd w:val="clear" w:color="auto" w:fill="FFFFFF"/>
        <w:adjustRightInd w:val="0"/>
        <w:snapToGrid w:val="0"/>
        <w:spacing w:beforeAutospacing="0" w:afterAutospacing="0" w:line="360" w:lineRule="auto"/>
        <w:rPr>
          <w:rFonts w:cstheme="minorBidi"/>
          <w:kern w:val="2"/>
          <w:sz w:val="21"/>
          <w:szCs w:val="22"/>
        </w:rPr>
      </w:pPr>
    </w:p>
    <w:p w14:paraId="6375BCFF"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1.</w:t>
      </w:r>
      <w:r>
        <w:rPr>
          <w:rFonts w:cstheme="minorBidi" w:hint="eastAsia"/>
          <w:kern w:val="2"/>
          <w:sz w:val="21"/>
          <w:szCs w:val="22"/>
        </w:rPr>
        <w:t>护理学导论（第</w:t>
      </w:r>
      <w:r>
        <w:rPr>
          <w:rFonts w:cstheme="minorBidi" w:hint="eastAsia"/>
          <w:kern w:val="2"/>
          <w:sz w:val="21"/>
          <w:szCs w:val="22"/>
        </w:rPr>
        <w:t>4</w:t>
      </w:r>
      <w:r>
        <w:rPr>
          <w:rFonts w:cstheme="minorBidi" w:hint="eastAsia"/>
          <w:kern w:val="2"/>
          <w:sz w:val="21"/>
          <w:szCs w:val="22"/>
        </w:rPr>
        <w:t>版），李小妹、冯先琼主编，人民卫生出版社，</w:t>
      </w:r>
      <w:r>
        <w:rPr>
          <w:rFonts w:cstheme="minorBidi" w:hint="eastAsia"/>
          <w:kern w:val="2"/>
          <w:sz w:val="21"/>
          <w:szCs w:val="22"/>
        </w:rPr>
        <w:t>2017</w:t>
      </w:r>
      <w:r>
        <w:rPr>
          <w:rFonts w:cstheme="minorBidi" w:hint="eastAsia"/>
          <w:kern w:val="2"/>
          <w:sz w:val="21"/>
          <w:szCs w:val="22"/>
        </w:rPr>
        <w:t>年</w:t>
      </w:r>
      <w:r>
        <w:rPr>
          <w:rFonts w:cstheme="minorBidi" w:hint="eastAsia"/>
          <w:kern w:val="2"/>
          <w:sz w:val="21"/>
          <w:szCs w:val="22"/>
        </w:rPr>
        <w:t>6</w:t>
      </w:r>
      <w:r>
        <w:rPr>
          <w:rFonts w:cstheme="minorBidi" w:hint="eastAsia"/>
          <w:kern w:val="2"/>
          <w:sz w:val="21"/>
          <w:szCs w:val="22"/>
        </w:rPr>
        <w:t>月</w:t>
      </w:r>
    </w:p>
    <w:p w14:paraId="36E06E0C" w14:textId="77777777" w:rsidR="003625DD" w:rsidRDefault="002618DD">
      <w:pPr>
        <w:pStyle w:val="a7"/>
        <w:widowControl/>
        <w:shd w:val="clear" w:color="auto" w:fill="FFFFFF"/>
        <w:adjustRightInd w:val="0"/>
        <w:snapToGrid w:val="0"/>
        <w:spacing w:beforeAutospacing="0" w:afterAutospacing="0" w:line="360" w:lineRule="auto"/>
        <w:rPr>
          <w:rFonts w:cstheme="minorBidi"/>
          <w:kern w:val="2"/>
          <w:sz w:val="21"/>
          <w:szCs w:val="22"/>
        </w:rPr>
      </w:pPr>
      <w:r>
        <w:rPr>
          <w:rFonts w:cstheme="minorBidi" w:hint="eastAsia"/>
          <w:kern w:val="2"/>
          <w:sz w:val="21"/>
          <w:szCs w:val="22"/>
        </w:rPr>
        <w:t>2.</w:t>
      </w:r>
      <w:r>
        <w:rPr>
          <w:rFonts w:cstheme="minorBidi" w:hint="eastAsia"/>
          <w:kern w:val="2"/>
          <w:sz w:val="21"/>
          <w:szCs w:val="22"/>
        </w:rPr>
        <w:t>基础护理学（第</w:t>
      </w:r>
      <w:r>
        <w:rPr>
          <w:rFonts w:cstheme="minorBidi" w:hint="eastAsia"/>
          <w:kern w:val="2"/>
          <w:sz w:val="21"/>
          <w:szCs w:val="22"/>
        </w:rPr>
        <w:t>6</w:t>
      </w:r>
      <w:r>
        <w:rPr>
          <w:rFonts w:cstheme="minorBidi" w:hint="eastAsia"/>
          <w:kern w:val="2"/>
          <w:sz w:val="21"/>
          <w:szCs w:val="22"/>
        </w:rPr>
        <w:t>版），李小寒、尚少梅主编，人民卫生出版社，</w:t>
      </w:r>
      <w:r>
        <w:rPr>
          <w:rFonts w:cstheme="minorBidi" w:hint="eastAsia"/>
          <w:kern w:val="2"/>
          <w:sz w:val="21"/>
          <w:szCs w:val="22"/>
        </w:rPr>
        <w:t>2017</w:t>
      </w:r>
      <w:r>
        <w:rPr>
          <w:rFonts w:cstheme="minorBidi" w:hint="eastAsia"/>
          <w:kern w:val="2"/>
          <w:sz w:val="21"/>
          <w:szCs w:val="22"/>
        </w:rPr>
        <w:t>年</w:t>
      </w:r>
      <w:r>
        <w:rPr>
          <w:rFonts w:cstheme="minorBidi" w:hint="eastAsia"/>
          <w:kern w:val="2"/>
          <w:sz w:val="21"/>
          <w:szCs w:val="22"/>
        </w:rPr>
        <w:t>6</w:t>
      </w:r>
      <w:r>
        <w:rPr>
          <w:rFonts w:cstheme="minorBidi" w:hint="eastAsia"/>
          <w:kern w:val="2"/>
          <w:sz w:val="21"/>
          <w:szCs w:val="22"/>
        </w:rPr>
        <w:t>月</w:t>
      </w:r>
    </w:p>
    <w:sectPr w:rsidR="00362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878"/>
    <w:rsid w:val="0001307E"/>
    <w:rsid w:val="0001308C"/>
    <w:rsid w:val="000143FF"/>
    <w:rsid w:val="0001733B"/>
    <w:rsid w:val="00022C76"/>
    <w:rsid w:val="0002726F"/>
    <w:rsid w:val="00042C7C"/>
    <w:rsid w:val="000440EE"/>
    <w:rsid w:val="0005073A"/>
    <w:rsid w:val="00063484"/>
    <w:rsid w:val="00073A26"/>
    <w:rsid w:val="000D1335"/>
    <w:rsid w:val="000D6349"/>
    <w:rsid w:val="000F5DEC"/>
    <w:rsid w:val="00110D5B"/>
    <w:rsid w:val="00121134"/>
    <w:rsid w:val="0012411D"/>
    <w:rsid w:val="001507C0"/>
    <w:rsid w:val="00150BC8"/>
    <w:rsid w:val="00166F0B"/>
    <w:rsid w:val="00167B59"/>
    <w:rsid w:val="00167EE5"/>
    <w:rsid w:val="001723F7"/>
    <w:rsid w:val="00173F30"/>
    <w:rsid w:val="0019765F"/>
    <w:rsid w:val="001C5274"/>
    <w:rsid w:val="001E281B"/>
    <w:rsid w:val="001F2DA8"/>
    <w:rsid w:val="002121DD"/>
    <w:rsid w:val="002163F6"/>
    <w:rsid w:val="0022721C"/>
    <w:rsid w:val="002334CF"/>
    <w:rsid w:val="0025351A"/>
    <w:rsid w:val="002618DD"/>
    <w:rsid w:val="00261DF7"/>
    <w:rsid w:val="00264507"/>
    <w:rsid w:val="002719D4"/>
    <w:rsid w:val="002900BD"/>
    <w:rsid w:val="002C0849"/>
    <w:rsid w:val="002C5D04"/>
    <w:rsid w:val="002D2699"/>
    <w:rsid w:val="00313E63"/>
    <w:rsid w:val="003254B9"/>
    <w:rsid w:val="003276F7"/>
    <w:rsid w:val="00332FA6"/>
    <w:rsid w:val="00337751"/>
    <w:rsid w:val="003625DD"/>
    <w:rsid w:val="003752F7"/>
    <w:rsid w:val="0039241C"/>
    <w:rsid w:val="00393DC7"/>
    <w:rsid w:val="003C1D78"/>
    <w:rsid w:val="003D74A2"/>
    <w:rsid w:val="003E2C15"/>
    <w:rsid w:val="00410D19"/>
    <w:rsid w:val="00434FE2"/>
    <w:rsid w:val="00444B86"/>
    <w:rsid w:val="00451F73"/>
    <w:rsid w:val="00452A2D"/>
    <w:rsid w:val="004717C9"/>
    <w:rsid w:val="004970CA"/>
    <w:rsid w:val="004D2294"/>
    <w:rsid w:val="004D28F5"/>
    <w:rsid w:val="004F2835"/>
    <w:rsid w:val="005006F3"/>
    <w:rsid w:val="00502C39"/>
    <w:rsid w:val="00547139"/>
    <w:rsid w:val="005477E4"/>
    <w:rsid w:val="00564B16"/>
    <w:rsid w:val="00566C3C"/>
    <w:rsid w:val="00570A26"/>
    <w:rsid w:val="00581E7E"/>
    <w:rsid w:val="0059385C"/>
    <w:rsid w:val="005C23C6"/>
    <w:rsid w:val="005E0278"/>
    <w:rsid w:val="005E5878"/>
    <w:rsid w:val="00623F5C"/>
    <w:rsid w:val="00624D59"/>
    <w:rsid w:val="00625421"/>
    <w:rsid w:val="006267E3"/>
    <w:rsid w:val="006415FD"/>
    <w:rsid w:val="0066361E"/>
    <w:rsid w:val="00671DAE"/>
    <w:rsid w:val="00672B59"/>
    <w:rsid w:val="00677BE5"/>
    <w:rsid w:val="00687002"/>
    <w:rsid w:val="006A5ED5"/>
    <w:rsid w:val="006B66C3"/>
    <w:rsid w:val="006B7ADD"/>
    <w:rsid w:val="006D7849"/>
    <w:rsid w:val="00701045"/>
    <w:rsid w:val="00723A17"/>
    <w:rsid w:val="00745E95"/>
    <w:rsid w:val="0077654F"/>
    <w:rsid w:val="00776F25"/>
    <w:rsid w:val="00795899"/>
    <w:rsid w:val="007B64BE"/>
    <w:rsid w:val="007D4516"/>
    <w:rsid w:val="00807C25"/>
    <w:rsid w:val="00814EDD"/>
    <w:rsid w:val="00862F80"/>
    <w:rsid w:val="00864B72"/>
    <w:rsid w:val="00873CEF"/>
    <w:rsid w:val="00874FE8"/>
    <w:rsid w:val="008832A7"/>
    <w:rsid w:val="008846BF"/>
    <w:rsid w:val="008E4B3B"/>
    <w:rsid w:val="008F5485"/>
    <w:rsid w:val="009158FD"/>
    <w:rsid w:val="00941903"/>
    <w:rsid w:val="0094432A"/>
    <w:rsid w:val="009449C2"/>
    <w:rsid w:val="009479A4"/>
    <w:rsid w:val="00961A56"/>
    <w:rsid w:val="0096249E"/>
    <w:rsid w:val="00964C60"/>
    <w:rsid w:val="00967B52"/>
    <w:rsid w:val="009C7624"/>
    <w:rsid w:val="009E3038"/>
    <w:rsid w:val="00A04D72"/>
    <w:rsid w:val="00A04F45"/>
    <w:rsid w:val="00A319E6"/>
    <w:rsid w:val="00A3469A"/>
    <w:rsid w:val="00A45ED6"/>
    <w:rsid w:val="00A466C8"/>
    <w:rsid w:val="00A6027C"/>
    <w:rsid w:val="00A87AC9"/>
    <w:rsid w:val="00A90E55"/>
    <w:rsid w:val="00A91F9C"/>
    <w:rsid w:val="00AB6A4B"/>
    <w:rsid w:val="00B27BD3"/>
    <w:rsid w:val="00B5370E"/>
    <w:rsid w:val="00B71A55"/>
    <w:rsid w:val="00B82AF1"/>
    <w:rsid w:val="00B94822"/>
    <w:rsid w:val="00BB6549"/>
    <w:rsid w:val="00BB7088"/>
    <w:rsid w:val="00BC1BDD"/>
    <w:rsid w:val="00BC4A81"/>
    <w:rsid w:val="00BC55D5"/>
    <w:rsid w:val="00BC6433"/>
    <w:rsid w:val="00BE1719"/>
    <w:rsid w:val="00BE237E"/>
    <w:rsid w:val="00BF5716"/>
    <w:rsid w:val="00C06A50"/>
    <w:rsid w:val="00C16247"/>
    <w:rsid w:val="00C24B25"/>
    <w:rsid w:val="00C345D2"/>
    <w:rsid w:val="00C4527F"/>
    <w:rsid w:val="00C554F3"/>
    <w:rsid w:val="00C571CD"/>
    <w:rsid w:val="00C72DCF"/>
    <w:rsid w:val="00CD03F0"/>
    <w:rsid w:val="00CD0462"/>
    <w:rsid w:val="00CD4AB2"/>
    <w:rsid w:val="00D05DBE"/>
    <w:rsid w:val="00D2092B"/>
    <w:rsid w:val="00D224A8"/>
    <w:rsid w:val="00D225F2"/>
    <w:rsid w:val="00D944BF"/>
    <w:rsid w:val="00DA2FA3"/>
    <w:rsid w:val="00DB344C"/>
    <w:rsid w:val="00DC2850"/>
    <w:rsid w:val="00DC51BA"/>
    <w:rsid w:val="00DE05DB"/>
    <w:rsid w:val="00DE6503"/>
    <w:rsid w:val="00DF74AE"/>
    <w:rsid w:val="00E02DFD"/>
    <w:rsid w:val="00E05884"/>
    <w:rsid w:val="00E35E3D"/>
    <w:rsid w:val="00E45529"/>
    <w:rsid w:val="00E62C57"/>
    <w:rsid w:val="00E63BAE"/>
    <w:rsid w:val="00E65499"/>
    <w:rsid w:val="00E73B6C"/>
    <w:rsid w:val="00E935BF"/>
    <w:rsid w:val="00EC45AB"/>
    <w:rsid w:val="00ED297D"/>
    <w:rsid w:val="00ED3855"/>
    <w:rsid w:val="00EE7EA2"/>
    <w:rsid w:val="00F10A5E"/>
    <w:rsid w:val="00F40D62"/>
    <w:rsid w:val="00F441B9"/>
    <w:rsid w:val="00F56B8C"/>
    <w:rsid w:val="00F7770D"/>
    <w:rsid w:val="00F86400"/>
    <w:rsid w:val="00F90E43"/>
    <w:rsid w:val="00F97763"/>
    <w:rsid w:val="00FC1EED"/>
    <w:rsid w:val="00FF2DE9"/>
    <w:rsid w:val="0673165A"/>
    <w:rsid w:val="081E6AF7"/>
    <w:rsid w:val="0AC53E4B"/>
    <w:rsid w:val="0ADE3811"/>
    <w:rsid w:val="0C8046FD"/>
    <w:rsid w:val="0D2D35F4"/>
    <w:rsid w:val="0EBD1AFA"/>
    <w:rsid w:val="0F1D274F"/>
    <w:rsid w:val="0F396F9C"/>
    <w:rsid w:val="0F8B530D"/>
    <w:rsid w:val="0FF84C8B"/>
    <w:rsid w:val="10EE6245"/>
    <w:rsid w:val="150B6938"/>
    <w:rsid w:val="152F3B71"/>
    <w:rsid w:val="16930C31"/>
    <w:rsid w:val="1704552D"/>
    <w:rsid w:val="17FF3092"/>
    <w:rsid w:val="1812668F"/>
    <w:rsid w:val="19C53DFD"/>
    <w:rsid w:val="1A854546"/>
    <w:rsid w:val="1B0937A6"/>
    <w:rsid w:val="1B91519E"/>
    <w:rsid w:val="1CFC1ED6"/>
    <w:rsid w:val="1DB454BE"/>
    <w:rsid w:val="27D554EB"/>
    <w:rsid w:val="28D67436"/>
    <w:rsid w:val="28EB3986"/>
    <w:rsid w:val="2ACE691D"/>
    <w:rsid w:val="2CA42059"/>
    <w:rsid w:val="2E3B15FD"/>
    <w:rsid w:val="2E442531"/>
    <w:rsid w:val="2E653189"/>
    <w:rsid w:val="2EAF4402"/>
    <w:rsid w:val="2F4F613C"/>
    <w:rsid w:val="32570C33"/>
    <w:rsid w:val="32EA55DC"/>
    <w:rsid w:val="34E951E4"/>
    <w:rsid w:val="35BD6AB8"/>
    <w:rsid w:val="38090E2E"/>
    <w:rsid w:val="393D1E1C"/>
    <w:rsid w:val="3C385645"/>
    <w:rsid w:val="3C7655BB"/>
    <w:rsid w:val="3E356E61"/>
    <w:rsid w:val="3FED0F9C"/>
    <w:rsid w:val="406E6BFE"/>
    <w:rsid w:val="423D3AFC"/>
    <w:rsid w:val="45EE7846"/>
    <w:rsid w:val="467B7F86"/>
    <w:rsid w:val="47D71308"/>
    <w:rsid w:val="4A815C72"/>
    <w:rsid w:val="4B032EF5"/>
    <w:rsid w:val="501D5F2B"/>
    <w:rsid w:val="515130D3"/>
    <w:rsid w:val="52F83502"/>
    <w:rsid w:val="54832CD1"/>
    <w:rsid w:val="54935E30"/>
    <w:rsid w:val="54B126B9"/>
    <w:rsid w:val="584009E3"/>
    <w:rsid w:val="59163AED"/>
    <w:rsid w:val="596F5BCA"/>
    <w:rsid w:val="5B4B594E"/>
    <w:rsid w:val="5D4E3166"/>
    <w:rsid w:val="5D743741"/>
    <w:rsid w:val="5F1F022E"/>
    <w:rsid w:val="61987926"/>
    <w:rsid w:val="61AD4BCD"/>
    <w:rsid w:val="63C32509"/>
    <w:rsid w:val="64627D8F"/>
    <w:rsid w:val="65667E1F"/>
    <w:rsid w:val="6DC07669"/>
    <w:rsid w:val="70160A69"/>
    <w:rsid w:val="731D6043"/>
    <w:rsid w:val="7919236E"/>
    <w:rsid w:val="7B4F1014"/>
    <w:rsid w:val="7B54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7CA16"/>
  <w15:docId w15:val="{4A68C541-26AC-4C96-BABA-E1829F88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宋体" w:eastAsia="宋体" w:hAnsi="宋体" w:cs="Times New Roman"/>
      <w:b/>
      <w:kern w:val="44"/>
      <w:sz w:val="48"/>
      <w:szCs w:val="4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572</cp:revision>
  <dcterms:created xsi:type="dcterms:W3CDTF">2021-03-22T01:42:00Z</dcterms:created>
  <dcterms:modified xsi:type="dcterms:W3CDTF">2021-03-30T05:55:00Z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